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052D61">
      <w:pPr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6163945</wp:posOffset>
                </wp:positionV>
                <wp:extent cx="6398895" cy="979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889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A997">
                            <w:pPr>
                              <w:spacing w:before="480" w:after="480" w:line="288" w:lineRule="auto"/>
                              <w:ind w:left="0"/>
                              <w:jc w:val="center"/>
                              <w:rPr>
                                <w:rFonts w:hint="eastAsia" w:ascii="汉仪细秀体简 L" w:hAnsi="汉仪细秀体简 L" w:eastAsia="汉仪细秀体简 L" w:cs="汉仪细秀体简 L"/>
                                <w:b/>
                                <w:bCs/>
                                <w:color w:val="262626" w:themeColor="text1" w:themeTint="D9"/>
                                <w:sz w:val="76"/>
                                <w:szCs w:val="7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细秀体简 L" w:hAnsi="汉仪细秀体简 L" w:eastAsia="汉仪细秀体简 L" w:cs="汉仪细秀体简 L"/>
                                <w:b/>
                                <w:bCs/>
                                <w:color w:val="262626" w:themeColor="text1" w:themeTint="D9"/>
                                <w:sz w:val="76"/>
                                <w:szCs w:val="7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阅读阅中国2023年度</w:t>
                            </w:r>
                          </w:p>
                          <w:p w14:paraId="20EF5503">
                            <w:pPr>
                              <w:spacing w:before="480" w:after="480" w:line="288" w:lineRule="auto"/>
                              <w:ind w:left="0"/>
                              <w:jc w:val="center"/>
                              <w:rPr>
                                <w:rFonts w:hint="eastAsia" w:ascii="汉仪细秀体简 L" w:hAnsi="汉仪细秀体简 L" w:eastAsia="汉仪细秀体简 L" w:cs="汉仪细秀体简 L"/>
                                <w:b/>
                                <w:bCs/>
                                <w:color w:val="262626" w:themeColor="text1" w:themeTint="D9"/>
                                <w:sz w:val="76"/>
                                <w:szCs w:val="7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细秀体简 L" w:hAnsi="汉仪细秀体简 L" w:eastAsia="汉仪细秀体简 L" w:cs="汉仪细秀体简 L"/>
                                <w:b/>
                                <w:bCs/>
                                <w:color w:val="262626" w:themeColor="text1" w:themeTint="D9"/>
                                <w:sz w:val="76"/>
                                <w:szCs w:val="7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项目总结报告</w:t>
                            </w:r>
                          </w:p>
                          <w:p w14:paraId="229F939B">
                            <w:pPr>
                              <w:spacing w:before="480" w:after="480" w:line="288" w:lineRule="auto"/>
                              <w:ind w:left="0"/>
                              <w:rPr>
                                <w:rFonts w:hint="eastAsia" w:ascii="汉仪细秀体简 L" w:hAnsi="汉仪细秀体简 L" w:eastAsia="汉仪细秀体简 L" w:cs="汉仪细秀体简 L"/>
                                <w:b/>
                                <w:bCs/>
                                <w:color w:val="262626" w:themeColor="text1" w:themeTint="D9"/>
                                <w:sz w:val="76"/>
                                <w:szCs w:val="7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15pt;margin-top:485.35pt;height:77.15pt;width:503.85pt;z-index:251659264;v-text-anchor:middle;mso-width-relative:page;mso-height-relative:page;" filled="f" stroked="f" coordsize="21600,21600" o:gfxdata="UEsDBAoAAAAAAIdO4kAAAAAAAAAAAAAAAAAEAAAAZHJzL1BLAwQUAAAACACHTuJANlYkz9oAAAAM&#10;AQAADwAAAGRycy9kb3ducmV2LnhtbE2PMU/DMBCFdyT+g3VIbK3ttLRpiNMB1AEW1IJgdeJrEhGf&#10;g+205d9jJhhP79N735Xbix3YCX3oHSmQcwEMqXGmp1bB2+tulgMLUZPRgyNU8I0BttX1VakL4860&#10;x9MhtiyVUCi0gi7GseA8NB1aHeZuRErZ0XmrYzp9y43X51RuB54JseJW95QWOj3iQ4fN52GyCrKn&#10;l+k4PS5z/NjVZnj/WshnT0rd3khxDyziJf7B8Kuf1KFKTrWbyAQ2KJjlq0VCFWzWYg0sEZtMLoHV&#10;CZXZnQBelfz/E9UPUEsDBBQAAAAIAIdO4kAJCIq6PQIAAGgEAAAOAAAAZHJzL2Uyb0RvYy54bWyt&#10;VM2O2jAQvlfqO1i+l/C7C4iwoouoKqHuSrTq2TgOiWR7XNuQ0Ado36CnXnrvc/EcHTuBRdse9tCL&#10;mfFMvvH3zQyzu1pJchDWlaBT2ut0KRGaQ1bqXUo/fVy9GVPiPNMZk6BFSo/C0bv561ezykxFHwqQ&#10;mbAEQbSbVialhfdmmiSOF0Ix1wEjNAZzsIp5dO0uySyrEF3JpN/t3iQV2MxY4MI5vF02Qdoi2pcA&#10;Qp6XXCyB75XQvkG1QjKPlFxRGkfn8bV5Lrh/yHMnPJEpRaY+nlgE7W04k/mMTXeWmaLk7RPYS57w&#10;jJNipcaiF6gl84zsbfkXlCq5BQe573BQSUMkKoIset1n2mwKZkTkglI7cxHd/T9Y/uHwaEmZpXRA&#10;iWYKG3768f308/fp1zcyCPJUxk0xa2Mwz9dvocahOd87vAys69yq8It8CMZR3ONFXFF7wvHyZjAZ&#10;jycjSjjGJreTcXcUYJKnr411/p0ARYKRUovNi5qyw9r5JvWcEoppWJVSxgZKTapQYdSNH1wiCC41&#10;1ggcmrcGy9fbuiW2heyIvCw0g+EMX5VYfM2cf2QWJwGp4K74BzxyCVgEWouSAuzXf92HfGwQRimp&#10;cLJS6r7smRWUyPcaWzfpDYdhFKMzHN320bHXke11RO/VPeDw9nArDY9myPfybOYW1GdcqUWoiiGm&#10;OdZOKff27Nz7ZuJxKblYLGIajp9hfq03hgfwIKgzi71HUaPWQahGnVY/HMDYrXZZwoRf+zHr6Q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2ViTP2gAAAAwBAAAPAAAAAAAAAAEAIAAAACIAAABk&#10;cnMvZG93bnJldi54bWxQSwECFAAUAAAACACHTuJACQiK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BBDA997">
                      <w:pPr>
                        <w:spacing w:before="480" w:after="480" w:line="288" w:lineRule="auto"/>
                        <w:ind w:left="0"/>
                        <w:jc w:val="center"/>
                        <w:rPr>
                          <w:rFonts w:hint="eastAsia" w:ascii="汉仪细秀体简 L" w:hAnsi="汉仪细秀体简 L" w:eastAsia="汉仪细秀体简 L" w:cs="汉仪细秀体简 L"/>
                          <w:b/>
                          <w:bCs/>
                          <w:color w:val="262626" w:themeColor="text1" w:themeTint="D9"/>
                          <w:sz w:val="76"/>
                          <w:szCs w:val="7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细秀体简 L" w:hAnsi="汉仪细秀体简 L" w:eastAsia="汉仪细秀体简 L" w:cs="汉仪细秀体简 L"/>
                          <w:b/>
                          <w:bCs/>
                          <w:color w:val="262626" w:themeColor="text1" w:themeTint="D9"/>
                          <w:sz w:val="76"/>
                          <w:szCs w:val="7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阅读阅中国2023年度</w:t>
                      </w:r>
                    </w:p>
                    <w:p w14:paraId="20EF5503">
                      <w:pPr>
                        <w:spacing w:before="480" w:after="480" w:line="288" w:lineRule="auto"/>
                        <w:ind w:left="0"/>
                        <w:jc w:val="center"/>
                        <w:rPr>
                          <w:rFonts w:hint="eastAsia" w:ascii="汉仪细秀体简 L" w:hAnsi="汉仪细秀体简 L" w:eastAsia="汉仪细秀体简 L" w:cs="汉仪细秀体简 L"/>
                          <w:b/>
                          <w:bCs/>
                          <w:color w:val="262626" w:themeColor="text1" w:themeTint="D9"/>
                          <w:sz w:val="76"/>
                          <w:szCs w:val="7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细秀体简 L" w:hAnsi="汉仪细秀体简 L" w:eastAsia="汉仪细秀体简 L" w:cs="汉仪细秀体简 L"/>
                          <w:b/>
                          <w:bCs/>
                          <w:color w:val="262626" w:themeColor="text1" w:themeTint="D9"/>
                          <w:sz w:val="76"/>
                          <w:szCs w:val="7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项目总结报告</w:t>
                      </w:r>
                    </w:p>
                    <w:p w14:paraId="229F939B">
                      <w:pPr>
                        <w:spacing w:before="480" w:after="480" w:line="288" w:lineRule="auto"/>
                        <w:ind w:left="0"/>
                        <w:rPr>
                          <w:rFonts w:hint="eastAsia" w:ascii="汉仪细秀体简 L" w:hAnsi="汉仪细秀体简 L" w:eastAsia="汉仪细秀体简 L" w:cs="汉仪细秀体简 L"/>
                          <w:b/>
                          <w:bCs/>
                          <w:color w:val="262626" w:themeColor="text1" w:themeTint="D9"/>
                          <w:sz w:val="76"/>
                          <w:szCs w:val="7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8684260</wp:posOffset>
                </wp:positionV>
                <wp:extent cx="6402705" cy="9798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70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5BA0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62626" w:themeColor="text1" w:themeTint="D9"/>
                                <w:spacing w:val="5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62626" w:themeColor="text1" w:themeTint="D9"/>
                                <w:spacing w:val="51"/>
                                <w:kern w:val="0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基金会项目部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683.8pt;height:77.15pt;width:504.15pt;z-index:251660288;v-text-anchor:middle;mso-width-relative:page;mso-height-relative:page;" filled="f" stroked="f" coordsize="21600,21600" o:gfxdata="UEsDBAoAAAAAAIdO4kAAAAAAAAAAAAAAAAAEAAAAZHJzL1BLAwQUAAAACACHTuJA+SOyitsAAAAO&#10;AQAADwAAAGRycy9kb3ducmV2LnhtbE2PwU7DMAyG70i8Q2QkblvSbmxraboDaAe4oA0E17Tx2orG&#10;KU26jbfHnOBo/59+fy62F9eLE46h86QhmSsQSLW3HTUa3l53sw2IEA1Z03tCDd8YYFteXxUmt/5M&#10;ezwdYiO4hEJuNLQxDrmUoW7RmTD3AxJnRz86E3kcG2lHc+Zy18tUqZV0piO+0JoBH1qsPw+T05A+&#10;vUzH6XG5wY9dZfv3r0XyPJLWtzeJugcR8RL/YPjVZ3Uo2anyE9kgeg2zRK2XzHKyWK1XIJjJlMpA&#10;VLy6S5MMZFnI/2+UP1BLAwQUAAAACACHTuJAdt9dqD0CAABoBAAADgAAAGRycy9lMm9Eb2MueG1s&#10;rVRLbtswEN0X6B0I7hvJrvOxYTlwE6QoYDQB3KJrmqIiAfyVpCO5B2hvkFU33fdcPkcfKdsx0i6y&#10;6Iae4Yze8L2Z8fSyU5I8COcbows6OMkpEZqbstH3Bf386ebNBSU+MF0yabQo6EZ4ejl7/Wra2okY&#10;mtrIUjgCEO0nrS1oHYKdZJnntVDMnxgrNIKVcYoFuO4+Kx1rga5kNszzs6w1rrTOcOE9bq/7IN0h&#10;upcAmqpquLg2fK2EDj2qE5IFUPJ1Yz2dpddWleDhtqq8CEQWFExDOlEE9iqe2WzKJveO2brhuyew&#10;lzzhGSfFGo2iB6hrFhhZu+YvKNVwZ7ypwgk3KuuJJEXAYpA/02ZZMysSF0jt7UF0//9g+ceHO0ea&#10;sqAjSjRTaPj28cf25+/tr+9kFOVprZ8ga2mRF7p3psPQ7O89LiPrrnIq/oIPQRzibg7iii4Qjsuz&#10;UT48z08p4YiNz8cXsAGfPX1tnQ/vhVEkGgV1aF7SlD0sfOhT9ymxmDY3jZSpgVKTFhXenubpg0ME&#10;4FKjRuTQvzVaoVt1O2IrU27Ay5l+MLzlNw2KL5gPd8xhEkAFuxJucVTSoIjZWZTUxn37133MR4MQ&#10;paTFZBXUf10zJyiRHzRaNx6MRnEUkzM6PR/CcceR1XFEr9WVwfAOsJWWJzPmB7k3K2fUF6zUPFZF&#10;iGmO2gXlwe2dq9BPPJaSi/k8pWH8LAsLvbQ8gkdBvZ2vA0RNWkehenV2+mEAU7d2yxIn/NhPWU9/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SOyitsAAAAOAQAADwAAAAAAAAABACAAAAAiAAAA&#10;ZHJzL2Rvd25yZXYueG1sUEsBAhQAFAAAAAgAh07iQHbfXag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FA5BA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5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62626" w:themeColor="text1" w:themeTint="D9"/>
                          <w:spacing w:val="5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62626" w:themeColor="text1" w:themeTint="D9"/>
                          <w:spacing w:val="51"/>
                          <w:kern w:val="0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基金会项目部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0310" cy="10692130"/>
            <wp:effectExtent l="0" t="0" r="2540" b="13970"/>
            <wp:wrapNone/>
            <wp:docPr id="1" name="图片 1" descr="C:/Users/king/Desktop/背景/背景@3x (10).png背景@3x (1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king/Desktop/背景/背景@3x (10).png背景@3x (10)"/>
                    <pic:cNvPicPr/>
                  </pic:nvPicPr>
                  <pic:blipFill>
                    <a:blip r:embed="rId5"/>
                    <a:srcRect t="34" b="3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27E42">
      <w:pPr>
        <w:spacing w:before="480" w:after="480" w:line="288" w:lineRule="auto"/>
        <w:ind w:left="0"/>
        <w:rPr>
          <w:rFonts w:hint="eastAsia" w:ascii="方正仿宋_GB2312" w:hAnsi="方正仿宋_GB2312" w:eastAsia="方正仿宋_GB2312" w:cs="方正仿宋_GB2312"/>
          <w:b/>
          <w:sz w:val="52"/>
        </w:rPr>
        <w:sectPr>
          <w:headerReference r:id="rId3" w:type="default"/>
          <w:pgSz w:w="11905" w:h="16840"/>
          <w:cols w:space="720" w:num="1"/>
        </w:sectPr>
      </w:pPr>
    </w:p>
    <w:p w14:paraId="7C7782EC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bookmarkStart w:id="0" w:name="heading_0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一、项目核心概况</w:t>
      </w:r>
      <w:bookmarkEnd w:id="0"/>
    </w:p>
    <w:p w14:paraId="6DCB77A7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" w:name="heading_1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（一）项目背景</w:t>
      </w:r>
      <w:bookmarkEnd w:id="1"/>
    </w:p>
    <w:p w14:paraId="78EA0A22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“阅读阅中国” 以体制机制创新为核心，探索媒体融合助推全民阅读的全新模式，始终将满足乡村青少年的阅读期待作为出发点和落脚点，致力于为乡村青少年营造爱读书、读好书、善读书的浓厚阅读氛围，全方位提升青少年的阅读兴趣、培养良好阅读习惯、提高综合阅读能力。</w:t>
      </w:r>
    </w:p>
    <w:p w14:paraId="005A32E1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项目通过捐书、助学的多元形式推动全民阅读落地，邀请文化名家、行业模范等担任 “领读者”，为乡村孩子读好书、分享人生经历与成长感悟，以此引导全社会共同关心、关爱乡村少年的学习与成长，助力乡村青少年全面发展。</w:t>
      </w:r>
    </w:p>
    <w:p w14:paraId="10DE77FB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" w:name="heading_2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（二）项目宗旨</w:t>
      </w:r>
      <w:bookmarkEnd w:id="2"/>
    </w:p>
    <w:p w14:paraId="66C38249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核心宗旨为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满足乡村孩子的阅读期待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，以优质阅读资源输送和阅读氛围营造为抓手，弥补乡村阅读资源短板，助力乡村青少年提升综合素养，推动全民阅读向乡村纵深发展。</w:t>
      </w:r>
    </w:p>
    <w:p w14:paraId="5B457B36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3" w:name="heading_3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（三）受益群体</w:t>
      </w:r>
      <w:bookmarkEnd w:id="3"/>
    </w:p>
    <w:p w14:paraId="00693595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全国范围内有图书阅读需求的中小学学生，重点覆盖河北、四川、内蒙古、安徽、宁夏等 15 个省市的乡村及偏远地区中小学生，2023 年项目直接受益人数达 120 万人。</w:t>
      </w:r>
    </w:p>
    <w:p w14:paraId="742E9D65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4" w:name="heading_4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（四）项目实施范围与时间</w:t>
      </w:r>
      <w:bookmarkEnd w:id="4"/>
    </w:p>
    <w:p w14:paraId="0FF121C2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实施时间为 2023 年全年；直播活动固定于北京大运河书院开展，图书捐赠覆盖全国有图书需求的中小学，重点落地乡村、偏远山区及受灾地区学校。</w:t>
      </w:r>
    </w:p>
    <w:p w14:paraId="1982FF3A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bookmarkStart w:id="5" w:name="heading_5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二、项目核心内容实施</w:t>
      </w:r>
      <w:bookmarkEnd w:id="5"/>
    </w:p>
    <w:p w14:paraId="501F7942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6" w:name="heading_6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（一）图书捐赠成果</w:t>
      </w:r>
      <w:bookmarkEnd w:id="6"/>
    </w:p>
    <w:p w14:paraId="50B9E53B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捐赠规模与覆盖范围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：2023 年项目累计为全国 15 个省市的 61 所学校援建爱心图书室，捐赠图书达 8660000 码洋，覆盖河北、四川、内蒙古、安徽、宁夏、江苏、陕西、重庆、云南、西藏、贵州、天津、广东、山东、黑龙江等多地，精准触达乡村、偏远山区及灾后重建地区的中小学。</w:t>
      </w:r>
    </w:p>
    <w:p w14:paraId="3DC94C1E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捐赠图书类别与适配性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组建专业调研团队，针对不同年龄段、阅读水平的乡村青少年开展深度阅读需求调研，依据调研结果精准选书，图书涵盖文学名著、科普读物、历史文化、励志成长、学科辅导等多个类别。针对小学低年级学生，捐赠《我爸爸》《我妈妈》等经典绘本及趣味童话故事书；针对中学阶段青少年，配备《钢铁是怎样炼成的》《时间简史（青少年版）》等兼具思想深度与知识拓展性的书籍；在内蒙古等少数民族聚居地区，特别增加反映民族历史文化的特色图书，兼顾阅读适配性与文化传承性。</w:t>
      </w:r>
    </w:p>
    <w:p w14:paraId="533224E4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7" w:name="heading_7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（二）融媒体直播活动成效</w:t>
      </w:r>
      <w:bookmarkEnd w:id="7"/>
    </w:p>
    <w:p w14:paraId="04FC05AA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直播场次与参与嘉宾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：2023 年共举办融媒体公益直播活动 14 场，其中常规直播 12 场、特别活动 2 场，邀请访谈嘉宾 94 位、特邀嘉宾 28 位，涵盖文化界、教育界、演艺界等多个领域知名人士。知名作家分享创作经历，教育专家讲解阅读方法与习惯养成，杨洋、赵丽颖等演艺明星为乡村孩子朗读经典、分享阅读感悟，借助嘉宾影响力提升活动关注度与传播力。</w:t>
      </w:r>
    </w:p>
    <w:p w14:paraId="6519133F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观众互动与反馈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：直播活动设置留言分享、问题提问等互动环节，极大调动观众参与积极性，每场直播平均收到观众留言超 600 条、提问超 120 个，问题涵盖阅读推荐、学习方法、成长困惑等多个方面，嘉宾均进行耐心细致解答。从反馈来看，乡村学生表示通过直播拓宽阅读视野、提升阅读兴趣；家长认为活动提供了亲子学习交流的优质机会，学到科学的家庭教育与阅读指导方法；社会各界对活动高度认可，认为其有效推动全民阅读、切实关爱乡村青少年成长。</w:t>
      </w:r>
      <w:bookmarkStart w:id="8" w:name="heading_8"/>
    </w:p>
    <w:p w14:paraId="3C72F5DE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234907CB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6A893801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三、项目合规性与执行规范性</w:t>
      </w:r>
      <w:bookmarkEnd w:id="8"/>
    </w:p>
    <w:p w14:paraId="767FF8FA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9" w:name="heading_9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（一）项目符合宗旨和业务范围</w:t>
      </w:r>
      <w:bookmarkEnd w:id="9"/>
    </w:p>
    <w:p w14:paraId="778D45B1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本项目隶属于中国少年儿童文化艺术基金会业务范畴，核心围绕少年儿童文化艺术素养提升与教育资源均衡化开展，与基金会 “关爱少年儿童成长，推动少年儿童文化艺术事业发展” 的宗旨高度契合。项目以阅读为载体，通过图书捐赠、阅读推广、文化分享等形式，丰富乡村少年儿童的精神文化生活，提升其文化素养与综合能力，完全符合基金会核定的业务范围，无超范围开展活动情况。</w:t>
      </w:r>
    </w:p>
    <w:p w14:paraId="41E03C7D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0" w:name="heading_10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（二）项目内容具有公共利益属性</w:t>
      </w:r>
      <w:bookmarkEnd w:id="10"/>
    </w:p>
    <w:p w14:paraId="18ED452A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聚焦乡村青少年阅读资源匮乏的社会痛点，通过无偿捐赠图书、援建图书室、开展公益直播阅读推广等活动，为乡村青少年提供免费的优质阅读资源与文化服务，无任何盈利性目的。项目的实施不仅能提升乡村青少年的阅读能力与综合素养，更能推动乡村阅读氛围形成、助力乡村教育发展，同时带动全社会关注乡村教育、参与全民阅读，具有显著的社会公共利益属性，惠及广大乡村青少年及社会公众。</w:t>
      </w:r>
    </w:p>
    <w:p w14:paraId="2B8C8319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1" w:name="heading_11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（三）项目受益人选择满足公开公平公正要求</w:t>
      </w:r>
      <w:bookmarkEnd w:id="11"/>
    </w:p>
    <w:p w14:paraId="62FCDBBF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项目制定了清晰、公开的受益人筛选标准，以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全国范围内有图书阅读需求的乡村中小学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为核心筛选对象，优先覆盖偏远山区、少数民族聚居区、灾后重建地区等阅读资源极度匮乏的区域学校。受益人筛选过程全程公开，通过与地方教育部门、学校对接，公开征集图书需求信息，再结合区域阅读资源现状进行公平遴选，无主观指定、暗箱操作等情况，确保符合条件的学校均能平等参与，受益人选择充分满足公开、公平、公正原则。</w:t>
      </w:r>
    </w:p>
    <w:p w14:paraId="7744DE35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2" w:name="heading_12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（四）项目执行方的合理选择</w:t>
      </w:r>
      <w:bookmarkEnd w:id="12"/>
    </w:p>
    <w:p w14:paraId="162B0A55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执行由阅读阅中国公益行动项目办全权负责，项目办组建了由教育、文化、融媒体等领域专业人员构成的执行团队，具备丰富的公益项目执行、阅读推广及媒体运营经验。同时，项目在图书配送、直播执行、地方落地等环节，合理选择合作方：与当地政府、邮政部门、专业物流公司合作开展图书配送，依托其线下网络与物流优势保障图书高效送达；与央视频、中青网、新华社等正规权威媒体合作开展宣传与直播，确保传播质量与公信力；与地方教育部门、学校合作开展落地活动，保障项目执行与当地实际需求精准匹配。所有执行方与合作方的选择均经过综合评估，兼顾专业性、公信力与落地能力，确保项目高效、有序执行。</w:t>
      </w:r>
    </w:p>
    <w:p w14:paraId="45C81B86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B054211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bookmarkStart w:id="13" w:name="heading_13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四、项目风险防控</w:t>
      </w:r>
      <w:bookmarkEnd w:id="13"/>
    </w:p>
    <w:p w14:paraId="6EC4235D">
      <w:pPr>
        <w:spacing w:before="120" w:after="120" w:line="288" w:lineRule="auto"/>
        <w:ind w:left="0" w:firstLine="600" w:firstLineChars="20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项目在实施过程中，提前预判并针对性应对图书配送、活动执行、资源管理等环节的各类风险，建立了完善的风险防控体系，具体防控措施如下：</w:t>
      </w:r>
    </w:p>
    <w:p w14:paraId="6A817E41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图书配送风险防控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针对西藏等偏远山区交通条件恶劣、山路崎岖、易发生地质灾害，导致图书配送困难、损坏率高、延时严重的问题，项目加强与当地政府、邮政部门、物流公司的深度协作，利用邮政乡村配送网络将图书分批次转运至乡村站点，再由志愿者或学校人员领取；与物流公司合作优化运输路线，提前勘察路况并选择安全路线，为运输车辆配备防潮布、加固包装等防护设备，降低图书损坏率；建立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图书配送实时跟踪机制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，通过物流系统实时掌握图书运输位置与状态，及时处理运输过程中的突发问题，保障图书安全、按时送达。</w:t>
      </w:r>
    </w:p>
    <w:p w14:paraId="588BD132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活动执行风险防控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针对融媒体直播活动的嘉宾邀约、技术运行、现场互动等环节风险，提前制定活动执行预案，与嘉宾团队提前对接沟通，明确活动流程与要求；安排专业技术团队负责直播设备调试与运行，设置备用直播线路与设备，应对网络故障、设备故障等突发情况；建立现场互动管理机制，安排专人负责观众留言与提问筛选，确保互动环节有序开展。</w:t>
      </w:r>
    </w:p>
    <w:p w14:paraId="05EDDBB8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资源管理风险防控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：针对图书、资金等项目资源管理风险，建立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专人专管、台账清晰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的管理制度，对捐赠图书进行分类登记、全程跟踪，确保图书精准发放至受益学校；对项目资金实行专款专用，建立详细的经费使用台账，每一笔支出均有明确的票据凭证与审批流程，定期开展资金使用核查，确保资金使用规范、透明。</w:t>
      </w:r>
    </w:p>
    <w:p w14:paraId="013923F1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舆情风险防控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针对项目宣传与实施过程中的舆情风险，安排专人负责舆情监测与应对，及时关注社会各界对项目的反馈与评价；对项目宣传内容进行严格审核，确保信息真实、准确；若出现突发舆情，第一时间进行回应与处理，保障项目良好的社会形象。</w:t>
      </w:r>
    </w:p>
    <w:p w14:paraId="37B67E4E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3D9E7173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bookmarkStart w:id="14" w:name="heading_14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五、项目的积累与发展</w:t>
      </w:r>
      <w:bookmarkEnd w:id="14"/>
    </w:p>
    <w:p w14:paraId="081366A0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2023 年作为 “阅读阅中国” 项目深化实施的关键一年，项目在实施过程中完成了多方面的积累，为后续持续发展奠定了坚实基础，同时明确了未来的发展方向：</w:t>
      </w:r>
    </w:p>
    <w:p w14:paraId="5EB9CAB6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5" w:name="heading_15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（一）项目积累</w:t>
      </w:r>
      <w:bookmarkEnd w:id="15"/>
    </w:p>
    <w:p w14:paraId="37524FB8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资源积累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：项目已与央视频、中青网、文旅中国、爱奇艺、腾讯等数十家权威媒体与主流平台建立长期合作关系，打造了稳定的宣传与传播渠道；累计为 15 个省市 61 所学校援建爱心图书室，形成了覆盖全国多区域的项目落地网络；吸引了文化名家、教育专家、演艺明星、爱心企业、志愿者等众多社会力量参与，积累了丰富的人力、物力与社会资源。</w:t>
      </w:r>
    </w:p>
    <w:p w14:paraId="5225EC4B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经验积累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：项目团队在图书捐赠、直播活动开展、偏远地区项目落地、灾后重建地区资源输送等方面积累了大量实操经验，形成了一套 \</w:t>
      </w:r>
      <w:r>
        <w:rPr>
          <w:rFonts w:hint="eastAsia" w:ascii="方正仿宋_GB2312" w:hAnsi="方正仿宋_GB2312" w:eastAsia="方正仿宋_GB2312" w:cs="方正仿宋_GB2312"/>
          <w:i/>
          <w:sz w:val="30"/>
          <w:szCs w:val="30"/>
        </w:rPr>
        <w:t>\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“调研 - 选书 - 捐赠 - 落地 - 推广”\</w:t>
      </w:r>
      <w:r>
        <w:rPr>
          <w:rFonts w:hint="eastAsia" w:ascii="方正仿宋_GB2312" w:hAnsi="方正仿宋_GB2312" w:eastAsia="方正仿宋_GB2312" w:cs="方正仿宋_GB2312"/>
          <w:i/>
          <w:sz w:val="30"/>
          <w:szCs w:val="30"/>
        </w:rPr>
        <w:t>\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 xml:space="preserve"> 的标准化项目执行流程；在应对偏远山区图书配送、突发舆情、活动现场执行等各类问题时，形成了成熟的风险防控与应急处理机制，项目执行能力与专业水平显著提升。</w:t>
      </w:r>
    </w:p>
    <w:p w14:paraId="0873E576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品牌积累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：通过 2023 年的持续实施与广泛宣传，“阅读阅中国” 项目的社会认知度与美誉度大幅提升，成为推动乡村全民阅读的知名公益品牌，获得了政府部门、教育系统、社会公众的高度认可，形成了良好的品牌效应，为项目后续发展凝聚了社会共识。</w:t>
      </w:r>
    </w:p>
    <w:p w14:paraId="2A712950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6" w:name="heading_16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（二）未来发展规划</w:t>
      </w:r>
      <w:bookmarkEnd w:id="16"/>
    </w:p>
    <w:p w14:paraId="4293375C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扩大覆盖范围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：将项目从现有 15 个省市逐步扩展至全国范围，重点覆盖中西部偏远乡村、边疆地区、少数民族聚居区等阅读资源匮乏的区域，让更多乡村青少年享受优质阅读资源。</w:t>
      </w:r>
    </w:p>
    <w:p w14:paraId="00FCF231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建立长效机制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：将 “阅读阅中国” 打造为年度固定公益项目，与地方教育部门、学校建立长期合作关系，持续开展图书捐赠、阅读推广等活动，形成常态化、可持续的乡村阅读推广模式。</w:t>
      </w:r>
    </w:p>
    <w:p w14:paraId="6A894F51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丰富活动形式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：在现有图书捐赠、融媒体直播的基础上，开发更具吸引力的阅读推广形式，如开展乡村阅读夏令营、领读者线下进校园、阅读征文比赛、亲子阅读活动等，丰富乡村青少年的阅读体验。</w:t>
      </w:r>
    </w:p>
    <w:p w14:paraId="12478C8C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加强数字赋能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：参考数字中国建设经验，探索线上线下结合的阅读推广新模式，搭建线上阅读平台，提供电子图书、线上阅读课程、领读者线上答疑等服务，弥补线下阅读资源的不足。</w:t>
      </w:r>
    </w:p>
    <w:p w14:paraId="103850C3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深化内容建设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：建立专业的选书与内容研发团队，借鉴 “百家万品” 选品工程的做法，结合乡村青少年的阅读需求与成长特点，持续优化图书选品体系，同时开发适合乡村青少年的阅读指导课程与读物。</w:t>
      </w:r>
    </w:p>
    <w:p w14:paraId="238A5FD7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完善评估体系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：借鉴 “全民阅读优秀项目” 评选标准，建立科学、系统的项目评估机制，从图书捐赠效果、阅读推广成效、受益学生反馈、社会影响力等多个维度对项目进行全面评估，根据评估结果持续优化项目实施策略。</w:t>
      </w:r>
    </w:p>
    <w:p w14:paraId="201D1E63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bookmarkStart w:id="17" w:name="heading_17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六、项目效果阐述与目标达成情况</w:t>
      </w:r>
      <w:bookmarkEnd w:id="17"/>
    </w:p>
    <w:p w14:paraId="0DB1252A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8" w:name="heading_18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（一）项目效果阐述</w:t>
      </w:r>
      <w:bookmarkEnd w:id="18"/>
    </w:p>
    <w:p w14:paraId="6D7BA2A2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阅读氛围层面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：通过图书捐赠、爱心图书室建设、融媒体直播推广等形式，在乡村学校及周边社区营造了浓厚的阅读氛围，许多乡村学生养成了每天阅读的良好习惯，带动了家长参与亲子阅读，形成了 “学生爱读、家长陪读、社区共读” 的良好阅读风气，推动乡村阅读氛围从 “淡薄” 向 “浓厚” 转变。</w:t>
      </w:r>
    </w:p>
    <w:p w14:paraId="57FB977E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教育发展层面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大量优质图书的捐赠与爱心图书室的建设，极大改善了乡村学校的阅读条件与教育资源配置，弥补了乡村教育的资源短板；直播活动中专家学者的阅读指导、学习方法分享，让乡村学生获得了与城市学生接轨的优质教育资源，有效缩小了城乡教育差距，为乡村教育发展注入了新活力。</w:t>
      </w:r>
    </w:p>
    <w:p w14:paraId="16B7D83E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学生素养层面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丰富的阅读资源让乡村青少年的知识视野得到极大拓宽，不仅提升了其阅读能力、写作能力等学科素养，更通过励志成长、历史文化等类别的书籍，培养了其正确的人生观、价值观，增强了其文化自信与民族认同感，综合素养得到全方位提升。</w:t>
      </w:r>
    </w:p>
    <w:p w14:paraId="3453B519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社会参与层面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：项目吸引了社会各界的广泛参与，爱心企业、名人名家、志愿者、媒体平台等各尽其力，形成了 “政府引导、社会组织实施、社会力量参与” 的全民阅读推广格局，推动公益理念深入人心，激发了全社会参与乡村教育、助力公益事业的热情。</w:t>
      </w:r>
    </w:p>
    <w:p w14:paraId="5AF233C1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19" w:name="heading_19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（二）项目目标达成情况</w:t>
      </w:r>
      <w:bookmarkEnd w:id="19"/>
    </w:p>
    <w:p w14:paraId="1B9C4807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 2023 年设定的核心目标为：营造全社会 “爱读书、读好书、善读书” 的浓厚氛围，响应国家 “深入推进全民阅读，建设书香中国” 的号召；满足乡村孩子的阅读期待，通过援建图书室、开展阅读活动等方式，提升乡村青少年的阅读兴趣和阅读能力。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截至 2023 年 12 月，项目核心目标已全面达成，且部分指标超额完成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</w:t>
      </w:r>
    </w:p>
    <w:p w14:paraId="3FD8E7D0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全民阅读氛围营造目标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：通过 14 场融媒体直播活动、数十家媒体的广泛宣传，项目的社会传播力与影响力持续提升，有效宣传了阅读的重要性，激发了全社会的阅读热情，推动了全民阅读风尚的形成，圆满达成氛围营造目标。</w:t>
      </w:r>
    </w:p>
    <w:p w14:paraId="39A844F3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乡村阅读资源输送目标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：原定计划为乡村学校援建爱心图书室 50 所，实际完成 61 所，超额完成 22%；原定捐赠图书码洋 700 万，实际完成 866 万，超额完成 23.7%，覆盖 15 个省市，圆满并超额完成阅读资源输送目标，切实满足了乡村孩子的阅读期待。</w:t>
      </w:r>
    </w:p>
    <w:p w14:paraId="4EE78E27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乡村青少年阅读能力提升目标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通过精准的图书选品、专业的阅读指导直播，乡村青少年的阅读兴趣显著提升，阅读习惯逐步养成，据受益学校反馈，学生的课外阅读时间大幅增加，阅读能力与综合素养得到明显提升，圆满达成能力提升目标。</w:t>
      </w:r>
    </w:p>
    <w:p w14:paraId="0778AAB4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受益人数目标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：原定项目直接受益人数 100 万人，实际达到 120 万人，超额完成 20%，更多乡村青少年从中受益。</w:t>
      </w:r>
    </w:p>
    <w:p w14:paraId="710473E2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bookmarkStart w:id="20" w:name="heading_20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七、项目社会影响力</w:t>
      </w:r>
      <w:bookmarkEnd w:id="20"/>
    </w:p>
    <w:p w14:paraId="46748D44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1" w:name="heading_21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（一）推动全民阅读风尚形成，助力书香中国建设</w:t>
      </w:r>
      <w:bookmarkEnd w:id="21"/>
    </w:p>
    <w:p w14:paraId="4BBC9BC7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以乡村为重点发力点，通过图书捐赠、阅读推广等多元形式，将全民阅读理念从城市传递至乡村，推动阅读氛围在全国范围内普及。从城市到乡村，从学校到社区，越来越多的人开始关注阅读、参与阅读，形成了全民阅读的良好社会风尚，为国家 “深入推进全民阅读，建设书香中国” 的战略部署提供了坚实的基层实践支撑。</w:t>
      </w:r>
    </w:p>
    <w:p w14:paraId="525D839B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2" w:name="heading_22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（二）助力乡村教育振兴，推动教育资源均衡化</w:t>
      </w:r>
      <w:bookmarkEnd w:id="22"/>
    </w:p>
    <w:p w14:paraId="0E79AD74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聚焦乡村教育资源匮乏的核心问题，通过优质阅读资源的精准输送，有效改善了乡村学校的教育资源配置，弥补了城乡教育差距。同时，项目为乡村学校培养了一批图书管理员和阅读推广志愿者，提升了学校自主开展阅读活动的能力，为乡村教育的可持续发展注入了新活力，切实助力乡村教育振兴战略的实施。</w:t>
      </w:r>
    </w:p>
    <w:p w14:paraId="5B3F9571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3" w:name="heading_23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（三）促进文化传承与交流，增强青少年文化自信</w:t>
      </w:r>
      <w:bookmarkEnd w:id="23"/>
    </w:p>
    <w:p w14:paraId="3EA640D9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捐赠的图书中包含大量中华优秀传统文化、地方特色文化、世界多元文化及少数民族文化相关书籍，乡村青少年通过阅读这些书籍，深入了解中华民族的悠久历史和灿烂文化，增强了对本土文化的认同感和自豪感，有效推动了中华优秀传统文化的传承与弘扬。同时，多元文化书籍的阅读拓宽了青少年的国际视野，促进了不同文化之间的交流与融合，培养了青少年的文化包容精神。</w:t>
      </w:r>
    </w:p>
    <w:p w14:paraId="0B1695E2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4" w:name="heading_24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（四）增强社会凝聚力，营造和谐公益社会氛围</w:t>
      </w:r>
      <w:bookmarkEnd w:id="24"/>
    </w:p>
    <w:p w14:paraId="7F7F433E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吸引了政府部门、社会组织、爱心企业、名人名家、普通民众、志愿者等社会各界的广泛参与，各方为了推动乡村青少年阅读的共同目标凝聚在一起，形成了强大的公益合力。这种全民参与的公益模式，增强了社会成员之间的联系与合作，促进了社会资源的优化配置，让人们感受到了社会的温暖与力量，显著增强了社会凝聚力和向心力，为构建和谐美好的社会环境奠定了良好基础。</w:t>
      </w:r>
    </w:p>
    <w:p w14:paraId="3DDEBD29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5" w:name="heading_25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（五）树立公益项目标杆，引领社会公益发展</w:t>
      </w:r>
      <w:bookmarkEnd w:id="25"/>
    </w:p>
    <w:p w14:paraId="17557AF8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“阅读阅中国” 项目创新打造了 “捐书 + 读书 + 圆梦” 三位一体的公益模式，将媒体融合与全民阅读深度结合，实现了公益资源的高效传播与精准落地。项目的成功实施为国内公益项目的开展提供了可复制、可推广的经验，树立了乡村教育公益与全民阅读推广的标杆，引领更多社会力量参与到乡村公益事业与文化建设中来。</w:t>
      </w:r>
    </w:p>
    <w:p w14:paraId="739D0434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6" w:name="heading_26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八、参与疫情防控工作情况</w:t>
      </w:r>
      <w:bookmarkEnd w:id="26"/>
    </w:p>
    <w:p w14:paraId="241429EC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2023 年，国内疫情防控进入常态化阶段，项目团队严格遵守各地疫情防控要求，统筹推进项目实施与疫情防控工作，在确保疫情防控安全的前提下，保障项目各项活动有序开展：</w:t>
      </w:r>
    </w:p>
    <w:p w14:paraId="19A84D7C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灵活调整活动形式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针对线下活动可能存在的疫情传播风险，项目将阅读推广的核心活动从线下转移至线上，以融媒体直播为主要形式开展领读者分享、阅读指导等活动，让乡村青少年足不出户就能参与阅读推广活动，既避免了人员聚集，又保障了项目的持续推进。</w:t>
      </w:r>
    </w:p>
    <w:p w14:paraId="46AF048D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做好线下落地疫情防控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在图书捐赠、图书室援建等线下落地环节，项目团队与当地学校、教育部门提前对接，严格遵守当地疫情防控规定，对捐赠图书进行消毒处理，安排工作人员错峰开展落地工作，避免人员聚集，确保线下活动的疫情防控安全。</w:t>
      </w:r>
    </w:p>
    <w:p w14:paraId="36E3400B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助力疫情防控地区阅读资源保障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针对部分疫情防控重点地区的乡村学校，项目优先安排图书捐赠与配送，为疫情防控期间居家学习的乡村青少年提供充足的阅读资源，丰富其居家学习生活，缓解疫情对乡村学生学习的影响，以实际行动助力疫情防控工作。</w:t>
      </w:r>
    </w:p>
    <w:p w14:paraId="697EF3AC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5188AC40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bookmarkStart w:id="27" w:name="heading_27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九、服务国家战略相关工作情况</w:t>
      </w:r>
      <w:bookmarkEnd w:id="27"/>
    </w:p>
    <w:p w14:paraId="36487970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“阅读阅中国” 项目的实施始终与国家重大发展战略同频共振，深度服务于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全民阅读、乡村振兴、教育公平、文化自信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等国家战略，具体体现如下：</w:t>
      </w:r>
    </w:p>
    <w:p w14:paraId="6E35FC85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服务全民阅读与书香中国建设战略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：响应国家 “深入推进全民阅读，建设书香中国” 的号召，以乡村为全民阅读推广的重点区域，通过图书捐赠、阅读推广等形式，推动全民阅读向基层、向乡村纵深发展，让阅读成为全社会的生活方式和社会风尚，为书香中国建设提供基层实践支撑。</w:t>
      </w:r>
    </w:p>
    <w:p w14:paraId="4F5C0E75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服务乡村振兴战略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乡村教育振兴是乡村振兴的重要内容，项目聚焦乡村阅读资源匮乏的痛点，通过改善乡村学校的阅读条件、提升乡村青少年的综合素养，助力乡村教育振兴，同时带动乡村阅读氛围形成，推动乡村文化建设，为乡村振兴注入文化与教育活力。</w:t>
      </w:r>
    </w:p>
    <w:p w14:paraId="56D7F1CD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服务教育公平战略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针对城乡教育资源不均衡的问题，项目将优质的阅读资源与教育指导服务精准输送至乡村地区，弥补乡村教育的资源短板，让乡村青少年与城市青少年享有同等的阅读机会，切实推动教育公平，助力国家教育均衡发展战略的实施。</w:t>
      </w:r>
    </w:p>
    <w:p w14:paraId="60BA267A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服务文化自信与文化强国战略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项目通过捐赠中华优秀传统文化相关书籍、开展历史文化阅读推广活动，引导乡村青少年深入了解中华优秀传统文化，增强文化自信与民族认同感，推动中华优秀传统文化的传承与弘扬；同时，通过多元文化书籍的传播，培养青少年的全球视野，为文化强国建设培养具有文化自信与文化包容精神的新时代青少年。</w:t>
      </w:r>
    </w:p>
    <w:p w14:paraId="64CCB1BB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服务灾后重建与民生保障战略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：2023 年，针对河北涿州等受灾地区，项目积极响应国家 “加快推进学校等公共设施恢复重建，保证受灾学生都能按时开学返校” 的重要指示精神，第一时间向涿州捐赠 240 万码洋图书，援建爱心图书室，助力受灾地区学校的恢复重建，保障受灾学生的阅读与学习需求，以实际行动服务国家灾后重建与民生保障战略。</w:t>
      </w:r>
    </w:p>
    <w:p w14:paraId="3DFBC3A3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40"/>
          <w:szCs w:val="4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br w:type="page"/>
      </w:r>
      <w:bookmarkStart w:id="35" w:name="_GoBack"/>
      <w:bookmarkEnd w:id="35"/>
      <w:bookmarkStart w:id="28" w:name="heading_28"/>
      <w:r>
        <w:rPr>
          <w:rFonts w:hint="eastAsia" w:ascii="方正仿宋_GB2312" w:hAnsi="方正仿宋_GB2312" w:eastAsia="方正仿宋_GB2312" w:cs="方正仿宋_GB2312"/>
          <w:b/>
          <w:sz w:val="40"/>
          <w:szCs w:val="40"/>
        </w:rPr>
        <w:t>十、项目经费使用情况</w:t>
      </w:r>
      <w:bookmarkEnd w:id="28"/>
    </w:p>
    <w:p w14:paraId="2D68900E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29" w:name="heading_29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（一）经费总额</w:t>
      </w:r>
      <w:bookmarkEnd w:id="29"/>
    </w:p>
    <w:p w14:paraId="3BA7E146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2023 年 “阅读阅中国” 项目实际支出经费总额为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12900000 元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。</w:t>
      </w:r>
    </w:p>
    <w:p w14:paraId="687FC949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30" w:name="heading_30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（二）经费明细</w:t>
      </w:r>
      <w:bookmarkEnd w:id="30"/>
    </w:p>
    <w:p w14:paraId="33CBC487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项目经费实行专款专用，主要用于图书捐赠与直播活动两大板块，详细明细如下：</w:t>
      </w:r>
    </w:p>
    <w:tbl>
      <w:tblPr>
        <w:tblStyle w:val="4"/>
        <w:tblW w:w="9439" w:type="dxa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85"/>
        <w:gridCol w:w="2358"/>
        <w:gridCol w:w="1167"/>
        <w:gridCol w:w="854"/>
        <w:gridCol w:w="1438"/>
        <w:gridCol w:w="1145"/>
        <w:gridCol w:w="1292"/>
      </w:tblGrid>
      <w:tr w14:paraId="633F834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1CA93B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项目</w:t>
            </w:r>
          </w:p>
        </w:tc>
        <w:tc>
          <w:tcPr>
            <w:tcW w:w="235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D0063C0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单项明细</w:t>
            </w:r>
          </w:p>
        </w:tc>
        <w:tc>
          <w:tcPr>
            <w:tcW w:w="116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831FE9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单价（元）</w:t>
            </w:r>
          </w:p>
        </w:tc>
        <w:tc>
          <w:tcPr>
            <w:tcW w:w="85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42FC4B9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数量</w:t>
            </w:r>
          </w:p>
        </w:tc>
        <w:tc>
          <w:tcPr>
            <w:tcW w:w="143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F98E30D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金额（元）</w:t>
            </w:r>
          </w:p>
        </w:tc>
        <w:tc>
          <w:tcPr>
            <w:tcW w:w="11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9E1D23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经手人</w:t>
            </w:r>
          </w:p>
        </w:tc>
        <w:tc>
          <w:tcPr>
            <w:tcW w:w="129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A25C3E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批准人</w:t>
            </w:r>
          </w:p>
        </w:tc>
      </w:tr>
      <w:tr w14:paraId="13903FC4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111DCC6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捐书</w:t>
            </w:r>
          </w:p>
        </w:tc>
        <w:tc>
          <w:tcPr>
            <w:tcW w:w="235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5126D8D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爱心图书室援建及图书采购</w:t>
            </w:r>
          </w:p>
        </w:tc>
        <w:tc>
          <w:tcPr>
            <w:tcW w:w="116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291B9B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100000</w:t>
            </w:r>
          </w:p>
        </w:tc>
        <w:tc>
          <w:tcPr>
            <w:tcW w:w="85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3064FC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61</w:t>
            </w:r>
          </w:p>
        </w:tc>
        <w:tc>
          <w:tcPr>
            <w:tcW w:w="143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726A26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6100000</w:t>
            </w:r>
          </w:p>
        </w:tc>
        <w:tc>
          <w:tcPr>
            <w:tcW w:w="11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3151E1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李翠芬</w:t>
            </w:r>
          </w:p>
        </w:tc>
        <w:tc>
          <w:tcPr>
            <w:tcW w:w="129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039EFA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江晨悦</w:t>
            </w:r>
          </w:p>
        </w:tc>
      </w:tr>
      <w:tr w14:paraId="241E090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3FFCA0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直播</w:t>
            </w:r>
          </w:p>
        </w:tc>
        <w:tc>
          <w:tcPr>
            <w:tcW w:w="235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FF977A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融媒体直播活动策划、执行、嘉宾邀约等</w:t>
            </w:r>
          </w:p>
        </w:tc>
        <w:tc>
          <w:tcPr>
            <w:tcW w:w="116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FD34E91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700000</w:t>
            </w:r>
          </w:p>
        </w:tc>
        <w:tc>
          <w:tcPr>
            <w:tcW w:w="85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066ECD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</w:t>
            </w:r>
          </w:p>
        </w:tc>
        <w:tc>
          <w:tcPr>
            <w:tcW w:w="143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5A0BAFC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9800000</w:t>
            </w:r>
          </w:p>
        </w:tc>
        <w:tc>
          <w:tcPr>
            <w:tcW w:w="11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C75ABEF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/</w:t>
            </w:r>
          </w:p>
        </w:tc>
        <w:tc>
          <w:tcPr>
            <w:tcW w:w="129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7EB153A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/</w:t>
            </w:r>
          </w:p>
        </w:tc>
      </w:tr>
      <w:tr w14:paraId="1B18369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DEB354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sz w:val="30"/>
                <w:szCs w:val="30"/>
              </w:rPr>
              <w:t>合计</w:t>
            </w:r>
          </w:p>
        </w:tc>
        <w:tc>
          <w:tcPr>
            <w:tcW w:w="235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7FFF08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-</w:t>
            </w:r>
          </w:p>
        </w:tc>
        <w:tc>
          <w:tcPr>
            <w:tcW w:w="116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06F196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-</w:t>
            </w:r>
          </w:p>
        </w:tc>
        <w:tc>
          <w:tcPr>
            <w:tcW w:w="85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DB4388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-</w:t>
            </w:r>
          </w:p>
        </w:tc>
        <w:tc>
          <w:tcPr>
            <w:tcW w:w="1438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14605B4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sz w:val="30"/>
                <w:szCs w:val="30"/>
              </w:rPr>
              <w:t>12900000</w:t>
            </w:r>
          </w:p>
        </w:tc>
        <w:tc>
          <w:tcPr>
            <w:tcW w:w="11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E57679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-</w:t>
            </w:r>
          </w:p>
        </w:tc>
        <w:tc>
          <w:tcPr>
            <w:tcW w:w="129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C40BCE">
            <w:pPr>
              <w:spacing w:before="120" w:after="120" w:line="288" w:lineRule="auto"/>
              <w:ind w:left="0"/>
              <w:jc w:val="left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-</w:t>
            </w:r>
          </w:p>
        </w:tc>
      </w:tr>
    </w:tbl>
    <w:p w14:paraId="61368B95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31" w:name="heading_31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（三）经费管理</w:t>
      </w:r>
      <w:bookmarkEnd w:id="31"/>
    </w:p>
    <w:p w14:paraId="466845F9">
      <w:pPr>
        <w:spacing w:before="120" w:after="120" w:line="288" w:lineRule="auto"/>
        <w:ind w:left="0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项目建立了严格的经费管理制度，实行</w:t>
      </w: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专款专用、专人负责、层层审批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的原则，每一笔经费支出均有明确的用途、票据凭证及审批流程，同时对经费使用情况进行全程台账记录，定期开展经费使用核查，确保经费使用规范、透明、高效，无截留、挪用、浪费经费等情况，所有经费均全部用于项目实施与公益活动开展。</w:t>
      </w:r>
    </w:p>
    <w:p w14:paraId="074A60D3">
      <w:pPr>
        <w:spacing w:before="320" w:after="120" w:line="288" w:lineRule="auto"/>
        <w:ind w:left="0"/>
        <w:jc w:val="left"/>
        <w:outlineLvl w:val="1"/>
        <w:rPr>
          <w:rFonts w:hint="eastAsia" w:ascii="方正仿宋_GB2312" w:hAnsi="方正仿宋_GB2312" w:eastAsia="方正仿宋_GB2312" w:cs="方正仿宋_GB2312"/>
          <w:sz w:val="36"/>
          <w:szCs w:val="36"/>
        </w:rPr>
      </w:pPr>
      <w:bookmarkStart w:id="32" w:name="heading_32"/>
      <w:r>
        <w:rPr>
          <w:rFonts w:hint="eastAsia" w:ascii="方正仿宋_GB2312" w:hAnsi="方正仿宋_GB2312" w:eastAsia="方正仿宋_GB2312" w:cs="方正仿宋_GB2312"/>
          <w:b/>
          <w:sz w:val="36"/>
          <w:szCs w:val="36"/>
        </w:rPr>
        <w:t>十一、项目经验及建议</w:t>
      </w:r>
      <w:bookmarkEnd w:id="32"/>
    </w:p>
    <w:p w14:paraId="1DC9971F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33" w:name="heading_33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（一）项目经验</w:t>
      </w:r>
      <w:bookmarkEnd w:id="33"/>
    </w:p>
    <w:p w14:paraId="76CCA64C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公益模式创新是核心动力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：项目创新打造 “捐书 + 读书 + 圆梦” 三位一体的公益模式，将媒体融合与全民阅读深度结合，实现了公益资源的高效传播与精准落地，让公益项目的影响力与覆盖面大幅提升，为公益项目的开展提供了模式创新经验。</w:t>
      </w:r>
    </w:p>
    <w:p w14:paraId="77E47178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聚焦教育公平是价值内核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：项目始终将优质教育资源输送至乡村作为核心目标，精准聚焦乡村青少年的阅读需求，切实弥补城乡教育资源差距，让公益项目的实施更具社会价值，也让项目获得了广泛的社会认可与支持。</w:t>
      </w:r>
    </w:p>
    <w:p w14:paraId="12067BFF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广泛社会参与是重要支撑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：项目成功吸引了教育工作者、文化名家、演艺明星、爱心企业、志愿者、媒体平台等社会各界的广泛参与，形成了 “多方联动、全民参与” 的公益格局，汇聚了强大的公益合力，为项目的实施提供了充足的人力、物力与传播支撑。</w:t>
      </w:r>
    </w:p>
    <w:p w14:paraId="35C9D5CB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深度情感联结是持久保障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通过书籍捐赠与领读者人生故事分享，项目在城市捐赠者、社会爱心人士与乡村儿童之间建立了温暖的情感纽带，让公益项目不仅是资源的输送，更是情感的交流，让社会各界对乡村青少年的关爱持续深化，为项目的持续发展提供了持久保障。</w:t>
      </w:r>
    </w:p>
    <w:p w14:paraId="67BE28F1">
      <w:pPr>
        <w:spacing w:before="300" w:after="120" w:line="288" w:lineRule="auto"/>
        <w:ind w:left="0"/>
        <w:jc w:val="left"/>
        <w:outlineLvl w:val="2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bookmarkStart w:id="34" w:name="heading_34"/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（二）发展建议</w:t>
      </w:r>
      <w:bookmarkEnd w:id="34"/>
    </w:p>
    <w:p w14:paraId="36D52CC7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扩大覆盖范围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：将项目从现有 15 个省市逐步扩展至全国范围，重点覆盖中西部偏远乡村、边疆地区、少数民族聚居区等阅读资源极度匮乏的区域，让更多乡村青少年享受优质阅读资源。</w:t>
      </w:r>
    </w:p>
    <w:p w14:paraId="21058841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建立长效机制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：将 “阅读阅中国” 打造为年度固定公益项目，与地方教育部门、学校建立长期合作关系，形成常态化、可持续的乡村阅读推广模式。</w:t>
      </w:r>
    </w:p>
    <w:p w14:paraId="7E31DF76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丰富活动形式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：开发更具吸引力的阅读推广形式，如乡村阅读夏令营、领读者线下进校园、阅读征文比赛、亲子阅读活动等，丰富乡村青少年的阅读体验。</w:t>
      </w:r>
    </w:p>
    <w:p w14:paraId="001C1734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加强数字赋能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：参考数字中国建设经验，搭建线上阅读平台，提供电子图书、线上阅读课程、领读者线上答疑等服务，探索线上线下结合的阅读推广新模式。</w:t>
      </w:r>
    </w:p>
    <w:p w14:paraId="4D8782A9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深化内容建设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：建立专业选书团队，借鉴 “百家万品” 选品工程的做法，持续优化图书选品体系，同时开发适合乡村青少年的阅读指导课程与特色读物。</w:t>
      </w:r>
    </w:p>
    <w:p w14:paraId="28854676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sz w:val="30"/>
          <w:szCs w:val="30"/>
        </w:rPr>
        <w:t>完善评估体系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：借鉴 “全民阅读优秀项目” 评选标准，建立科学、系统的项目评估机制，从图书捐赠效果、阅读推广成效、受益学生反馈等多维度进行全面评估，持续优化项目实施策略。</w:t>
      </w:r>
    </w:p>
    <w:p w14:paraId="17799DF0">
      <w:pPr>
        <w:spacing w:before="120" w:after="120" w:line="288" w:lineRule="auto"/>
        <w:ind w:left="0"/>
        <w:jc w:val="right"/>
        <w:rPr>
          <w:rFonts w:hint="eastAsia" w:ascii="方正仿宋_GB2312" w:hAnsi="方正仿宋_GB2312" w:eastAsia="方正仿宋_GB2312" w:cs="方正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br w:type="textWrapping"/>
      </w:r>
      <w:r>
        <w:rPr>
          <w:rFonts w:hint="eastAsia" w:ascii="方正仿宋_GB2312" w:hAnsi="方正仿宋_GB2312" w:eastAsia="方正仿宋_GB2312" w:cs="方正仿宋_GB2312"/>
          <w:b/>
          <w:bCs w:val="0"/>
          <w:sz w:val="30"/>
          <w:szCs w:val="30"/>
        </w:rPr>
        <w:t>中国少年儿童文化艺术基金会</w:t>
      </w:r>
      <w:r>
        <w:rPr>
          <w:rFonts w:hint="eastAsia" w:ascii="方正仿宋_GB2312" w:hAnsi="方正仿宋_GB2312" w:eastAsia="方正仿宋_GB2312" w:cs="方正仿宋_GB2312"/>
          <w:b/>
          <w:bCs w:val="0"/>
          <w:sz w:val="30"/>
          <w:szCs w:val="30"/>
          <w:lang w:val="en-US" w:eastAsia="zh-CN"/>
        </w:rPr>
        <w:t>项目部</w:t>
      </w:r>
    </w:p>
    <w:p w14:paraId="7204E10D">
      <w:pPr>
        <w:spacing w:before="120" w:after="120" w:line="288" w:lineRule="auto"/>
        <w:ind w:left="0"/>
        <w:jc w:val="right"/>
        <w:rPr>
          <w:rFonts w:hint="eastAsia" w:ascii="方正仿宋_GB2312" w:hAnsi="方正仿宋_GB2312" w:eastAsia="方正仿宋_GB2312" w:cs="方正仿宋_GB2312"/>
          <w:b/>
          <w:bCs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30"/>
          <w:szCs w:val="30"/>
        </w:rPr>
        <w:t>2024 年 3 月</w:t>
      </w:r>
      <w:r>
        <w:rPr>
          <w:rFonts w:hint="eastAsia" w:ascii="方正仿宋_GB2312" w:hAnsi="方正仿宋_GB2312" w:eastAsia="方正仿宋_GB2312" w:cs="方正仿宋_GB2312"/>
          <w:b/>
          <w:bCs w:val="0"/>
          <w:sz w:val="30"/>
          <w:szCs w:val="30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b/>
          <w:bCs w:val="0"/>
          <w:sz w:val="30"/>
          <w:szCs w:val="30"/>
        </w:rPr>
        <w:t>日</w:t>
      </w:r>
    </w:p>
    <w:sectPr>
      <w:pgSz w:w="11905" w:h="16840"/>
      <w:pgMar w:top="1440" w:right="1519" w:bottom="1440" w:left="1519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B3001B6-C0E8-439C-BD20-2B2554A6B4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8F4B17A-E657-4760-AB67-BDE277D5D8C3}"/>
  </w:font>
  <w:font w:name="汉仪细秀体简 L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  <w:embedRegular r:id="rId3" w:fontKey="{EDE6B805-68BA-44DE-8D4A-6FBA3D72FCE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D5078868-E437-4788-B08D-87C11D3872D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F333C">
    <w:pPr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2835910" cy="720090"/>
          <wp:effectExtent l="0" t="0" r="2540" b="3810"/>
          <wp:docPr id="2" name="图片 2" descr="df3ce8d0ff5c25b71c12d3b56b34a3ce_38f0ac5b6801d174e6b5a3af60d8d628_8_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f3ce8d0ff5c25b71c12d3b56b34a3ce_38f0ac5b6801d174e6b5a3af60d8d628_8_0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591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1B4FF5"/>
    <w:rsid w:val="1F9057AC"/>
    <w:rsid w:val="388A37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qFormat/>
    <w:uiPriority w:val="0"/>
    <w:rPr>
      <w:rFonts w:asciiTheme="minorHAnsi" w:hAnsiTheme="minorHAnsi" w:eastAsiaTheme="minorEastAsia" w:cstheme="minorBidi"/>
    </w:rPr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淡雅群山封面.docx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8154</Words>
  <Characters>8276</Characters>
  <TotalTime>25</TotalTime>
  <ScaleCrop>false</ScaleCrop>
  <LinksUpToDate>false</LinksUpToDate>
  <CharactersWithSpaces>8415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2026-03-25T08:10:00Z</dcterms:created>
  <dc:creator>Apache POI</dc:creator>
  <cp:lastModifiedBy>yir</cp:lastModifiedBy>
  <cp:lastPrinted>2026-04-30T02:52:00Z</cp:lastPrinted>
  <dcterms:modified xsi:type="dcterms:W3CDTF">2026-05-06T03:22:55Z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eyJoZGlkIjoiOWZjNmQ0MTZiMzAwZjg5YTkxMzE0YTFlZjQ3ZTZjMTgiLCJ1c2VySWQiOiIyMTIzMjc2NjIifQ==</vt:lpwstr>
  </property>
  <property fmtid="{D5CDD505-2E9C-101B-9397-08002B2CF9AE}" pid="3" name="KSOProductBuildVer">
    <vt:lpwstr>2052-12.1.0.25865</vt:lpwstr>
  </property>
  <property fmtid="{D5CDD505-2E9C-101B-9397-08002B2CF9AE}" pid="4" name="ICV">
    <vt:lpwstr>7C492CBEAAB444BAAFD5AD65E39D5C90_13</vt:lpwstr>
  </property>
</Properties>
</file>