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5E143">
      <w:pPr>
        <w:rPr>
          <w:rFonts w:hint="default"/>
          <w:lang w:val="en-US"/>
        </w:rPr>
      </w:pPr>
      <w:bookmarkStart w:id="33" w:name="_GoBack"/>
      <w:bookmarkEnd w:id="33"/>
      <w:r>
        <w:rPr>
          <w:sz w:val="21"/>
        </w:rPr>
        <mc:AlternateContent>
          <mc:Choice Requires="wps">
            <w:drawing>
              <wp:anchor distT="0" distB="0" distL="114300" distR="114300" simplePos="0" relativeHeight="251660288" behindDoc="0" locked="0" layoutInCell="1" allowOverlap="1">
                <wp:simplePos x="0" y="0"/>
                <wp:positionH relativeFrom="column">
                  <wp:posOffset>-589280</wp:posOffset>
                </wp:positionH>
                <wp:positionV relativeFrom="paragraph">
                  <wp:posOffset>8362950</wp:posOffset>
                </wp:positionV>
                <wp:extent cx="6402705" cy="9798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402705" cy="979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A1821">
                            <w:pPr>
                              <w:keepNext w:val="0"/>
                              <w:keepLines w:val="0"/>
                              <w:pageBreakBefore w:val="0"/>
                              <w:widowControl w:val="0"/>
                              <w:kinsoku/>
                              <w:wordWrap/>
                              <w:overflowPunct/>
                              <w:topLinePunct w:val="0"/>
                              <w:bidi w:val="0"/>
                              <w:adjustRightInd w:val="0"/>
                              <w:snapToGrid w:val="0"/>
                              <w:spacing w:line="500" w:lineRule="exact"/>
                              <w:jc w:val="center"/>
                              <w:textAlignment w:val="auto"/>
                              <w:rPr>
                                <w:rFonts w:hint="eastAsia" w:ascii="黑体" w:hAnsi="黑体" w:eastAsia="黑体" w:cs="黑体"/>
                                <w:b w:val="0"/>
                                <w:bCs w:val="0"/>
                                <w:color w:val="262626" w:themeColor="text1" w:themeTint="D9"/>
                                <w:spacing w:val="51"/>
                                <w:sz w:val="40"/>
                                <w:szCs w:val="40"/>
                                <w:lang w:val="en-US" w:eastAsia="zh-CN"/>
                                <w14:textFill>
                                  <w14:solidFill>
                                    <w14:schemeClr w14:val="tx1">
                                      <w14:lumMod w14:val="85000"/>
                                      <w14:lumOff w14:val="15000"/>
                                    </w14:schemeClr>
                                  </w14:solidFill>
                                </w14:textFill>
                              </w:rPr>
                            </w:pPr>
                            <w:r>
                              <w:rPr>
                                <w:rFonts w:hint="eastAsia" w:ascii="黑体" w:hAnsi="黑体" w:eastAsia="黑体" w:cs="黑体"/>
                                <w:b w:val="0"/>
                                <w:bCs w:val="0"/>
                                <w:color w:val="262626" w:themeColor="text1" w:themeTint="D9"/>
                                <w:spacing w:val="51"/>
                                <w:kern w:val="0"/>
                                <w:sz w:val="40"/>
                                <w:szCs w:val="40"/>
                                <w:lang w:val="en-US" w:eastAsia="zh-CN"/>
                                <w14:textFill>
                                  <w14:solidFill>
                                    <w14:schemeClr w14:val="tx1">
                                      <w14:lumMod w14:val="85000"/>
                                      <w14:lumOff w14:val="15000"/>
                                    </w14:schemeClr>
                                  </w14:solidFill>
                                </w14:textFill>
                              </w:rPr>
                              <w:t>基金会项目部</w:t>
                            </w: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shape id="_x0000_s1026" o:spid="_x0000_s1026" o:spt="202" type="#_x0000_t202" style="position:absolute;left:0pt;margin-left:-46.4pt;margin-top:658.5pt;height:77.15pt;width:504.15pt;z-index:251660288;v-text-anchor:middle;mso-width-relative:page;mso-height-relative:page;" filled="f" stroked="f" coordsize="21600,21600" o:gfxdata="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thvmdsAAAANAQAADwAAAAAAAAABACAAAAAiAAAA&#10;ZHJzL2Rvd25yZXYueG1sUEsBAhQAFAAAAAgAh07iQHbfXag9AgAAaAQAAA4AAAAAAAAAAQAgAAAA&#10;KgEAAGRycy9lMm9Eb2MueG1sUEsFBgAAAAAGAAYAWQEAANkFAAAAAA==&#10;">
                <v:fill on="f" focussize="0,0"/>
                <v:stroke on="f" weight="0.5pt"/>
                <v:imagedata o:title=""/>
                <o:lock v:ext="edit" aspectratio="f"/>
                <v:textbox style="mso-fit-shape-to-text:t;">
                  <w:txbxContent>
                    <w:p w14:paraId="1C6A1821">
                      <w:pPr>
                        <w:keepNext w:val="0"/>
                        <w:keepLines w:val="0"/>
                        <w:pageBreakBefore w:val="0"/>
                        <w:widowControl w:val="0"/>
                        <w:kinsoku/>
                        <w:wordWrap/>
                        <w:overflowPunct/>
                        <w:topLinePunct w:val="0"/>
                        <w:bidi w:val="0"/>
                        <w:adjustRightInd w:val="0"/>
                        <w:snapToGrid w:val="0"/>
                        <w:spacing w:line="500" w:lineRule="exact"/>
                        <w:jc w:val="center"/>
                        <w:textAlignment w:val="auto"/>
                        <w:rPr>
                          <w:rFonts w:hint="eastAsia" w:ascii="黑体" w:hAnsi="黑体" w:eastAsia="黑体" w:cs="黑体"/>
                          <w:b w:val="0"/>
                          <w:bCs w:val="0"/>
                          <w:color w:val="262626" w:themeColor="text1" w:themeTint="D9"/>
                          <w:spacing w:val="51"/>
                          <w:sz w:val="40"/>
                          <w:szCs w:val="40"/>
                          <w:lang w:val="en-US" w:eastAsia="zh-CN"/>
                          <w14:textFill>
                            <w14:solidFill>
                              <w14:schemeClr w14:val="tx1">
                                <w14:lumMod w14:val="85000"/>
                                <w14:lumOff w14:val="15000"/>
                              </w14:schemeClr>
                            </w14:solidFill>
                          </w14:textFill>
                        </w:rPr>
                      </w:pPr>
                      <w:r>
                        <w:rPr>
                          <w:rFonts w:hint="eastAsia" w:ascii="黑体" w:hAnsi="黑体" w:eastAsia="黑体" w:cs="黑体"/>
                          <w:b w:val="0"/>
                          <w:bCs w:val="0"/>
                          <w:color w:val="262626" w:themeColor="text1" w:themeTint="D9"/>
                          <w:spacing w:val="51"/>
                          <w:kern w:val="0"/>
                          <w:sz w:val="40"/>
                          <w:szCs w:val="40"/>
                          <w:lang w:val="en-US" w:eastAsia="zh-CN"/>
                          <w14:textFill>
                            <w14:solidFill>
                              <w14:schemeClr w14:val="tx1">
                                <w14:lumMod w14:val="85000"/>
                                <w14:lumOff w14:val="15000"/>
                              </w14:schemeClr>
                            </w14:solidFill>
                          </w14:textFill>
                        </w:rPr>
                        <w:t>基金会项目部</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-548005</wp:posOffset>
                </wp:positionH>
                <wp:positionV relativeFrom="paragraph">
                  <wp:posOffset>6187440</wp:posOffset>
                </wp:positionV>
                <wp:extent cx="6398895" cy="9798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398895" cy="979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A0D2E">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阅读阅中国2024年度</w:t>
                            </w:r>
                          </w:p>
                          <w:p w14:paraId="3C1C1C47">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项目总结报告</w:t>
                            </w:r>
                          </w:p>
                          <w:p w14:paraId="3C4A3022">
                            <w:pPr>
                              <w:keepNext w:val="0"/>
                              <w:keepLines w:val="0"/>
                              <w:pageBreakBefore w:val="0"/>
                              <w:widowControl w:val="0"/>
                              <w:kinsoku/>
                              <w:wordWrap/>
                              <w:overflowPunct/>
                              <w:topLinePunct w:val="0"/>
                              <w:bidi w:val="0"/>
                              <w:adjustRightInd w:val="0"/>
                              <w:snapToGrid w:val="0"/>
                              <w:spacing w:line="1000" w:lineRule="exact"/>
                              <w:jc w:val="center"/>
                              <w:textAlignment w:val="auto"/>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shape id="_x0000_s1026" o:spid="_x0000_s1026" o:spt="202" type="#_x0000_t202" style="position:absolute;left:0pt;margin-left:-43.15pt;margin-top:487.2pt;height:77.15pt;width:503.85pt;z-index:251659264;v-text-anchor:middle;mso-width-relative:page;mso-height-relative:page;" filled="f" stroked="f" coordsize="21600,21600" o:gfxdata="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8/af2gAAAAwBAAAPAAAAAAAAAAEAIAAAACIAAABk&#10;cnMvZG93bnJldi54bWxQSwECFAAUAAAACACHTuJACQiKuj0CAABoBAAADgAAAAAAAAABACAAAAAp&#10;AQAAZHJzL2Uyb0RvYy54bWxQSwUGAAAAAAYABgBZAQAA2AUAAAAA&#10;">
                <v:fill on="f" focussize="0,0"/>
                <v:stroke on="f" weight="0.5pt"/>
                <v:imagedata o:title=""/>
                <o:lock v:ext="edit" aspectratio="f"/>
                <v:textbox style="mso-fit-shape-to-text:t;">
                  <w:txbxContent>
                    <w:p w14:paraId="621A0D2E">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阅读阅中国2024年度</w:t>
                      </w:r>
                    </w:p>
                    <w:p w14:paraId="3C1C1C47">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项目总结报告</w:t>
                      </w:r>
                    </w:p>
                    <w:p w14:paraId="3C4A3022">
                      <w:pPr>
                        <w:keepNext w:val="0"/>
                        <w:keepLines w:val="0"/>
                        <w:pageBreakBefore w:val="0"/>
                        <w:widowControl w:val="0"/>
                        <w:kinsoku/>
                        <w:wordWrap/>
                        <w:overflowPunct/>
                        <w:topLinePunct w:val="0"/>
                        <w:bidi w:val="0"/>
                        <w:adjustRightInd w:val="0"/>
                        <w:snapToGrid w:val="0"/>
                        <w:spacing w:line="1000" w:lineRule="exact"/>
                        <w:jc w:val="center"/>
                        <w:textAlignment w:val="auto"/>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p>
                  </w:txbxContent>
                </v:textbox>
              </v:shape>
            </w:pict>
          </mc:Fallback>
        </mc:AlternateContent>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-1143000</wp:posOffset>
            </wp:positionH>
            <wp:positionV relativeFrom="page">
              <wp:posOffset>0</wp:posOffset>
            </wp:positionV>
            <wp:extent cx="7560310" cy="10692130"/>
            <wp:effectExtent l="0" t="0" r="2540" b="13970"/>
            <wp:wrapNone/>
            <wp:docPr id="1" name="图片 1" descr="C:/Users/king/Desktop/背景/背景@3x (10).png背景@3x (10)"/>
            <wp:cNvGraphicFramePr/>
            <a:graphic xmlns:a="http://schemas.openxmlformats.org/drawingml/2006/main">
              <a:graphicData uri="http://schemas.openxmlformats.org/drawingml/2006/picture">
                <pic:pic xmlns:pic="http://schemas.openxmlformats.org/drawingml/2006/picture">
                  <pic:nvPicPr>
                    <pic:cNvPr id="1" name="图片 1" descr="C:/Users/king/Desktop/背景/背景@3x (10).png背景@3x (10)"/>
                    <pic:cNvPicPr/>
                  </pic:nvPicPr>
                  <pic:blipFill>
                    <a:blip r:embed="rId5"/>
                    <a:srcRect t="34" b="34"/>
                    <a:stretch>
                      <a:fillRect/>
                    </a:stretch>
                  </pic:blipFill>
                  <pic:spPr>
                    <a:xfrm>
                      <a:off x="0" y="0"/>
                      <a:ext cx="7560310" cy="10692130"/>
                    </a:xfrm>
                    <a:prstGeom prst="rect">
                      <a:avLst/>
                    </a:prstGeom>
                  </pic:spPr>
                </pic:pic>
              </a:graphicData>
            </a:graphic>
          </wp:anchor>
        </w:drawing>
      </w:r>
    </w:p>
    <w:p w14:paraId="249455DC">
      <w:pPr>
        <w:spacing w:before="480" w:after="480" w:line="288" w:lineRule="auto"/>
        <w:ind w:left="0"/>
        <w:rPr>
          <w:rFonts w:ascii="Arial" w:hAnsi="Arial" w:eastAsia="等线" w:cs="Arial"/>
          <w:b/>
          <w:sz w:val="52"/>
        </w:rPr>
        <w:sectPr>
          <w:headerReference r:id="rId3" w:type="default"/>
          <w:pgSz w:w="11905" w:h="16840"/>
          <w:cols w:space="720" w:num="1"/>
        </w:sectPr>
      </w:pPr>
    </w:p>
    <w:p w14:paraId="297C80EE">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0" w:name="heading_0"/>
      <w:r>
        <w:rPr>
          <w:rFonts w:hint="eastAsia" w:ascii="方正仿宋_GB2312" w:hAnsi="方正仿宋_GB2312" w:eastAsia="方正仿宋_GB2312" w:cs="方正仿宋_GB2312"/>
          <w:b/>
          <w:sz w:val="40"/>
          <w:szCs w:val="40"/>
        </w:rPr>
        <w:t>一、项目核心基础信息</w:t>
      </w:r>
      <w:bookmarkEnd w:id="0"/>
    </w:p>
    <w:p w14:paraId="0AD1E73D">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 w:name="heading_1"/>
      <w:r>
        <w:rPr>
          <w:rFonts w:hint="eastAsia" w:ascii="方正仿宋_GB2312" w:hAnsi="方正仿宋_GB2312" w:eastAsia="方正仿宋_GB2312" w:cs="方正仿宋_GB2312"/>
          <w:b/>
          <w:sz w:val="30"/>
          <w:szCs w:val="30"/>
        </w:rPr>
        <w:t>（一）项目背景</w:t>
      </w:r>
      <w:bookmarkEnd w:id="1"/>
    </w:p>
    <w:p w14:paraId="4CD630E3">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“阅读阅中国” 通过体制机制创新，探索媒体融合助推全民阅读新模式，以满足乡村青少年阅读期待为出发点和落脚点，为乡村青少年营造爱读书、读好书、善读书的阅读氛围，提升青少年阅读兴趣、养成阅读习惯、提高阅读能力。</w:t>
      </w:r>
    </w:p>
    <w:p w14:paraId="251ABD67">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项目以捐书、助学为核心形式推动全民阅读，邀请文化名家、行业模范等 “领读者” 为乡村孩子读本书，分享人生经历和感悟，引导全社会关心、关爱乡村少年的学习成长，响应国家 “深入推进全民阅读，建设书香中国” 的号召。</w:t>
      </w:r>
    </w:p>
    <w:p w14:paraId="110F5E7C">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 w:name="heading_2"/>
      <w:r>
        <w:rPr>
          <w:rFonts w:hint="eastAsia" w:ascii="方正仿宋_GB2312" w:hAnsi="方正仿宋_GB2312" w:eastAsia="方正仿宋_GB2312" w:cs="方正仿宋_GB2312"/>
          <w:b/>
          <w:sz w:val="30"/>
          <w:szCs w:val="30"/>
        </w:rPr>
        <w:t>（二）项目宗旨</w:t>
      </w:r>
      <w:bookmarkEnd w:id="2"/>
    </w:p>
    <w:p w14:paraId="70B959D4">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满足乡村孩子的阅读期待，助力乡村青少年阅读能力提升与全面发展，推动全民阅读风尚形成，为建设书香中国筑牢基层基础。</w:t>
      </w:r>
    </w:p>
    <w:p w14:paraId="5537F5DC">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3" w:name="heading_3"/>
      <w:r>
        <w:rPr>
          <w:rFonts w:hint="eastAsia" w:ascii="方正仿宋_GB2312" w:hAnsi="方正仿宋_GB2312" w:eastAsia="方正仿宋_GB2312" w:cs="方正仿宋_GB2312"/>
          <w:b/>
          <w:sz w:val="30"/>
          <w:szCs w:val="30"/>
        </w:rPr>
        <w:t>（三）受益群体</w:t>
      </w:r>
      <w:bookmarkEnd w:id="3"/>
    </w:p>
    <w:p w14:paraId="324ACB12">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全国有图书需求的中小学学生，重点覆盖边疆民族地区、偏远乡村地区 K12 阶段中小学生。</w:t>
      </w:r>
    </w:p>
    <w:p w14:paraId="023EF2C1">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4" w:name="heading_4"/>
      <w:r>
        <w:rPr>
          <w:rFonts w:hint="eastAsia" w:ascii="方正仿宋_GB2312" w:hAnsi="方正仿宋_GB2312" w:eastAsia="方正仿宋_GB2312" w:cs="方正仿宋_GB2312"/>
          <w:b/>
          <w:sz w:val="30"/>
          <w:szCs w:val="30"/>
        </w:rPr>
        <w:t>（四）项目实施概况</w:t>
      </w:r>
      <w:bookmarkEnd w:id="4"/>
    </w:p>
    <w:p w14:paraId="060D2AA9">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实施时间</w:t>
      </w:r>
      <w:r>
        <w:rPr>
          <w:rFonts w:hint="eastAsia" w:ascii="方正仿宋_GB2312" w:hAnsi="方正仿宋_GB2312" w:eastAsia="方正仿宋_GB2312" w:cs="方正仿宋_GB2312"/>
          <w:sz w:val="30"/>
          <w:szCs w:val="30"/>
        </w:rPr>
        <w:t>：2024 年全年</w:t>
      </w:r>
    </w:p>
    <w:p w14:paraId="6013D993">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实施地点</w:t>
      </w:r>
      <w:r>
        <w:rPr>
          <w:rFonts w:hint="eastAsia" w:ascii="方正仿宋_GB2312" w:hAnsi="方正仿宋_GB2312" w:eastAsia="方正仿宋_GB2312" w:cs="方正仿宋_GB2312"/>
          <w:sz w:val="30"/>
          <w:szCs w:val="30"/>
        </w:rPr>
        <w:t>：直播活动落地北京大运河书院；图书捐赠覆盖全国有图书需求的中小学</w:t>
      </w:r>
    </w:p>
    <w:p w14:paraId="47C912D3">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核心参与人员</w:t>
      </w:r>
      <w:r>
        <w:rPr>
          <w:rFonts w:hint="eastAsia" w:ascii="方正仿宋_GB2312" w:hAnsi="方正仿宋_GB2312" w:eastAsia="方正仿宋_GB2312" w:cs="方正仿宋_GB2312"/>
          <w:sz w:val="30"/>
          <w:szCs w:val="30"/>
        </w:rPr>
        <w:t>：郭梦梦、王家格、周国伟、任会会、唐磊鑫、刘英涛、郭旺阳、吴晓茜、李虹姗、陈琳、刘海洋、胡东旭、袁文明、张峰、杨香影、杨佳萌、边振兴、李雨萱等项目办成员</w:t>
      </w:r>
    </w:p>
    <w:p w14:paraId="68499DE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核心实施内容</w:t>
      </w:r>
      <w:r>
        <w:rPr>
          <w:rFonts w:hint="eastAsia" w:ascii="方正仿宋_GB2312" w:hAnsi="方正仿宋_GB2312" w:eastAsia="方正仿宋_GB2312" w:cs="方正仿宋_GB2312"/>
          <w:sz w:val="30"/>
          <w:szCs w:val="30"/>
        </w:rPr>
        <w:t>：开展领读拍摄 + 直播访谈融媒体活动、面向全国乡村中小学开展图书捐赠与爱心图书室建设</w:t>
      </w:r>
    </w:p>
    <w:p w14:paraId="59B38026">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整体受益规模</w:t>
      </w:r>
      <w:r>
        <w:rPr>
          <w:rFonts w:hint="eastAsia" w:ascii="方正仿宋_GB2312" w:hAnsi="方正仿宋_GB2312" w:eastAsia="方正仿宋_GB2312" w:cs="方正仿宋_GB2312"/>
          <w:sz w:val="30"/>
          <w:szCs w:val="30"/>
        </w:rPr>
        <w:t>：项目全年累计受益人数达 150 万人，捐赠建设 79 所爱心图书室，捐赠图书共计 8780000 码洋，覆盖全国 19 个省市。</w:t>
      </w:r>
    </w:p>
    <w:p w14:paraId="735F7123">
      <w:pPr>
        <w:numPr>
          <w:ilvl w:val="0"/>
          <w:numId w:val="0"/>
        </w:numPr>
        <w:spacing w:before="120" w:after="120" w:line="288" w:lineRule="auto"/>
        <w:jc w:val="left"/>
        <w:rPr>
          <w:rFonts w:hint="eastAsia" w:ascii="方正仿宋_GB2312" w:hAnsi="方正仿宋_GB2312" w:eastAsia="方正仿宋_GB2312" w:cs="方正仿宋_GB2312"/>
          <w:sz w:val="30"/>
          <w:szCs w:val="30"/>
        </w:rPr>
      </w:pPr>
    </w:p>
    <w:p w14:paraId="49D46139">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5" w:name="heading_5"/>
      <w:r>
        <w:rPr>
          <w:rFonts w:hint="eastAsia" w:ascii="方正仿宋_GB2312" w:hAnsi="方正仿宋_GB2312" w:eastAsia="方正仿宋_GB2312" w:cs="方正仿宋_GB2312"/>
          <w:b/>
          <w:sz w:val="40"/>
          <w:szCs w:val="40"/>
        </w:rPr>
        <w:t>二、项目核心合规性与实施合理性</w:t>
      </w:r>
      <w:bookmarkEnd w:id="5"/>
    </w:p>
    <w:p w14:paraId="051552A7">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6" w:name="heading_6"/>
      <w:r>
        <w:rPr>
          <w:rFonts w:hint="eastAsia" w:ascii="方正仿宋_GB2312" w:hAnsi="方正仿宋_GB2312" w:eastAsia="方正仿宋_GB2312" w:cs="方正仿宋_GB2312"/>
          <w:b/>
          <w:sz w:val="30"/>
          <w:szCs w:val="30"/>
        </w:rPr>
        <w:t>（一）项目符合宗旨和业务范围</w:t>
      </w:r>
      <w:bookmarkEnd w:id="6"/>
    </w:p>
    <w:p w14:paraId="31233C09">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项目由中国少年儿童文化艺术基金会发起实施，完全契合基金会以少年儿童文化艺术事业为核心，助力少年儿童全面发展的宗旨与业务范围。项目聚焦乡村少年儿童阅读文化需求，通过图书捐赠、阅读推广、融媒体传播等形式，丰富乡村少年儿童文化艺术生活，提升其文化素养与综合能力，是基金会核心业务的重要落地与延伸，各项实施内容均在基金会法定业务范围内开展，无超范围实施情况。</w:t>
      </w:r>
    </w:p>
    <w:p w14:paraId="486253BE">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7" w:name="heading_7"/>
      <w:r>
        <w:rPr>
          <w:rFonts w:hint="eastAsia" w:ascii="方正仿宋_GB2312" w:hAnsi="方正仿宋_GB2312" w:eastAsia="方正仿宋_GB2312" w:cs="方正仿宋_GB2312"/>
          <w:b/>
          <w:sz w:val="30"/>
          <w:szCs w:val="30"/>
        </w:rPr>
        <w:t>（二）项目内容具有公共利益属性</w:t>
      </w:r>
      <w:bookmarkEnd w:id="7"/>
    </w:p>
    <w:p w14:paraId="49E297B2">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项目以解决乡村青少年阅读资源匮乏、阅读氛围淡薄等社会问题为核心，无任何商业盈利目的，其公共利益属性体现在</w:t>
      </w:r>
      <w:r>
        <w:rPr>
          <w:rFonts w:hint="eastAsia" w:ascii="方正仿宋_GB2312" w:hAnsi="方正仿宋_GB2312" w:eastAsia="方正仿宋_GB2312" w:cs="方正仿宋_GB2312"/>
          <w:sz w:val="30"/>
          <w:szCs w:val="30"/>
          <w:lang w:eastAsia="zh-CN"/>
        </w:rPr>
        <w:t>三个</w:t>
      </w:r>
      <w:r>
        <w:rPr>
          <w:rFonts w:hint="eastAsia" w:ascii="方正仿宋_GB2312" w:hAnsi="方正仿宋_GB2312" w:eastAsia="方正仿宋_GB2312" w:cs="方正仿宋_GB2312"/>
          <w:sz w:val="30"/>
          <w:szCs w:val="30"/>
        </w:rPr>
        <w:t>方面：一是为乡村学校捐赠优质图书、建设爱心图书室，直接弥补乡村教育资源短板，保障乡村青少年的阅读权利；二是通过融媒体直播活动开展全民阅读推广，营造全社会阅读氛围，提升全民文化素养，惠及社会公众；三是凝聚社会各界力量参与公益，推动教育公平与社会公益事业发展，助力构建和谐社会，符合社会公共利益的核心诉求。</w:t>
      </w:r>
    </w:p>
    <w:p w14:paraId="09139615">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8" w:name="heading_8"/>
      <w:r>
        <w:rPr>
          <w:rFonts w:hint="eastAsia" w:ascii="方正仿宋_GB2312" w:hAnsi="方正仿宋_GB2312" w:eastAsia="方正仿宋_GB2312" w:cs="方正仿宋_GB2312"/>
          <w:b/>
          <w:sz w:val="30"/>
          <w:szCs w:val="30"/>
        </w:rPr>
        <w:t>（三）项目受益人选择满足公开公平公正要求</w:t>
      </w:r>
      <w:bookmarkEnd w:id="8"/>
    </w:p>
    <w:p w14:paraId="72EF3C99">
      <w:pPr>
        <w:spacing w:before="120" w:after="120" w:line="288" w:lineRule="auto"/>
        <w:ind w:left="0"/>
        <w:jc w:val="left"/>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rPr>
        <w:t>项目受益人（乡村中小学及学生）的选择严格遵循</w:t>
      </w:r>
      <w:r>
        <w:rPr>
          <w:rFonts w:hint="eastAsia" w:ascii="方正仿宋_GB2312" w:hAnsi="方正仿宋_GB2312" w:eastAsia="方正仿宋_GB2312" w:cs="方正仿宋_GB2312"/>
          <w:b/>
          <w:sz w:val="30"/>
          <w:szCs w:val="30"/>
        </w:rPr>
        <w:t>公开、公平、公正</w:t>
      </w:r>
      <w:r>
        <w:rPr>
          <w:rFonts w:hint="eastAsia" w:ascii="方正仿宋_GB2312" w:hAnsi="方正仿宋_GB2312" w:eastAsia="方正仿宋_GB2312" w:cs="方正仿宋_GB2312"/>
          <w:sz w:val="30"/>
          <w:szCs w:val="30"/>
        </w:rPr>
        <w:t>原则，建立了标准化的筛选流程：首先通过全国各省市教育主管部门、公益组织公开征集有图书需求的乡村中小学，明确申报条件与所需材料；其次组织项目团队对申报单位进行资料审核与实地调研，核实学校阅读资源现状、学生规模、地域发展情况等信息，确保筛选对象为真正有需求的群体；最后对拟受助学校进行公示，接受社会监督，无暗箱操作、优亲厚友等情况。受益学校覆盖全国 19 个省市的偏远乡村、边疆民族地区，兼顾不同地域、不同民族的需求</w:t>
      </w:r>
      <w:r>
        <w:rPr>
          <w:rFonts w:hint="eastAsia" w:ascii="方正仿宋_GB2312" w:hAnsi="方正仿宋_GB2312" w:eastAsia="方正仿宋_GB2312" w:cs="方正仿宋_GB2312"/>
          <w:sz w:val="30"/>
          <w:szCs w:val="30"/>
          <w:lang w:eastAsia="zh-CN"/>
        </w:rPr>
        <w:t>。</w:t>
      </w:r>
    </w:p>
    <w:p w14:paraId="41669C6D">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9" w:name="heading_9"/>
      <w:r>
        <w:rPr>
          <w:rFonts w:hint="eastAsia" w:ascii="方正仿宋_GB2312" w:hAnsi="方正仿宋_GB2312" w:eastAsia="方正仿宋_GB2312" w:cs="方正仿宋_GB2312"/>
          <w:b/>
          <w:sz w:val="30"/>
          <w:szCs w:val="30"/>
        </w:rPr>
        <w:t>（四）项目执行方的合理选择</w:t>
      </w:r>
      <w:bookmarkEnd w:id="9"/>
    </w:p>
    <w:p w14:paraId="0F2CD520">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项目由阅读阅中国公益行动项目办作为核心执行方，该团队由中国少年儿童文化艺术基金会统筹组建，成员均具备公益项目运营、融媒体策划、图书管理、乡村教育调研等专业能力，熟悉全民阅读推广与乡村公益项目实施流程。同时，项目在实施过程中合理选择合作方：与央视频、中青网等主流媒体合作开展宣传与直播，保障传播效果；与各地邮政部门、专业物流公司合作开展图书配送，解决物流运输难题；与各地教育主管部门、公益组织合作开展受助学校筛选与落地，保障项目实施的精准性与高效性。所有执行与合作方的选择均以 “专业适配、能力匹配、公益导向” 为原则，经过严格的沟通与评估，确保项目执行质量。</w:t>
      </w:r>
    </w:p>
    <w:p w14:paraId="4708B010">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0" w:name="heading_10"/>
      <w:r>
        <w:rPr>
          <w:rFonts w:hint="eastAsia" w:ascii="方正仿宋_GB2312" w:hAnsi="方正仿宋_GB2312" w:eastAsia="方正仿宋_GB2312" w:cs="方正仿宋_GB2312"/>
          <w:b/>
          <w:sz w:val="30"/>
          <w:szCs w:val="30"/>
        </w:rPr>
        <w:t>（五）项目风险防控</w:t>
      </w:r>
      <w:bookmarkEnd w:id="10"/>
    </w:p>
    <w:p w14:paraId="133841D8">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项目实施前与实施过程中，针对图书捐赠、物流配送、直播运营、资金使用等各环节可能出现的风险，建立了完善的</w:t>
      </w:r>
      <w:r>
        <w:rPr>
          <w:rFonts w:hint="eastAsia" w:ascii="方正仿宋_GB2312" w:hAnsi="方正仿宋_GB2312" w:eastAsia="方正仿宋_GB2312" w:cs="方正仿宋_GB2312"/>
          <w:b/>
          <w:sz w:val="30"/>
          <w:szCs w:val="30"/>
        </w:rPr>
        <w:t>风险防控体系</w:t>
      </w:r>
      <w:r>
        <w:rPr>
          <w:rFonts w:hint="eastAsia" w:ascii="方正仿宋_GB2312" w:hAnsi="方正仿宋_GB2312" w:eastAsia="方正仿宋_GB2312" w:cs="方正仿宋_GB2312"/>
          <w:sz w:val="30"/>
          <w:szCs w:val="30"/>
        </w:rPr>
        <w:t>，实现风险提前预判、过程管控、及时处置：</w:t>
      </w:r>
    </w:p>
    <w:p w14:paraId="10E22B15">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图书配送风险</w:t>
      </w:r>
      <w:r>
        <w:rPr>
          <w:rFonts w:hint="eastAsia" w:ascii="方正仿宋_GB2312" w:hAnsi="方正仿宋_GB2312" w:eastAsia="方正仿宋_GB2312" w:cs="方正仿宋_GB2312"/>
          <w:sz w:val="30"/>
          <w:szCs w:val="30"/>
        </w:rPr>
        <w:t>：针对偏远山区交通恶劣、地质灾害多发导致的配送困难、图书损坏等风险，加强与当地政府、邮政、物流企业协作，优化运输路线，提前勘察路况，为车辆配备防潮布、加固包装等防护设备，建立图书配送跟踪机制，实时掌握运输状态。</w:t>
      </w:r>
    </w:p>
    <w:p w14:paraId="59BE5FE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图书质量风险</w:t>
      </w:r>
      <w:r>
        <w:rPr>
          <w:rFonts w:hint="eastAsia" w:ascii="方正仿宋_GB2312" w:hAnsi="方正仿宋_GB2312" w:eastAsia="方正仿宋_GB2312" w:cs="方正仿宋_GB2312"/>
          <w:sz w:val="30"/>
          <w:szCs w:val="30"/>
        </w:rPr>
        <w:t>：组建专业选书团队，严格按照《中小学生课外读物进校园管理办法》筛选图书，杜绝内容不健康、意识形态问题、过于专业或成人化的书籍，确保图书适配乡村 K12 阶段学生需求。</w:t>
      </w:r>
    </w:p>
    <w:p w14:paraId="5A1EA76B">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资金使用风险</w:t>
      </w:r>
      <w:r>
        <w:rPr>
          <w:rFonts w:hint="eastAsia" w:ascii="方正仿宋_GB2312" w:hAnsi="方正仿宋_GB2312" w:eastAsia="方正仿宋_GB2312" w:cs="方正仿宋_GB2312"/>
          <w:sz w:val="30"/>
          <w:szCs w:val="30"/>
        </w:rPr>
        <w:t>：建立严格的资金管理制度，项目经费实行专款专用，每一笔支出均需经手人、批准人双重审核，附完整票据凭证，做到资金使用全程可追溯、可核查，杜绝资金挪用、浪费情况。</w:t>
      </w:r>
    </w:p>
    <w:p w14:paraId="0E0AA640">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直播运营风险</w:t>
      </w:r>
      <w:r>
        <w:rPr>
          <w:rFonts w:hint="eastAsia" w:ascii="方正仿宋_GB2312" w:hAnsi="方正仿宋_GB2312" w:eastAsia="方正仿宋_GB2312" w:cs="方正仿宋_GB2312"/>
          <w:sz w:val="30"/>
          <w:szCs w:val="30"/>
        </w:rPr>
        <w:t>：提前对直播嘉宾、内容进行审核，明确直播主题与导向，建立直播应急预案，应对直播过程中的突发情况，确保直播活动积极向上、顺利开展。</w:t>
      </w:r>
    </w:p>
    <w:p w14:paraId="68BBD3F6">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项目落地风险</w:t>
      </w:r>
      <w:r>
        <w:rPr>
          <w:rFonts w:hint="eastAsia" w:ascii="方正仿宋_GB2312" w:hAnsi="方正仿宋_GB2312" w:eastAsia="方正仿宋_GB2312" w:cs="方正仿宋_GB2312"/>
          <w:sz w:val="30"/>
          <w:szCs w:val="30"/>
        </w:rPr>
        <w:t>：与各地教育主管部门、学校建立常态化沟通机制，及时了解项目落地情况，针对学校图书室管理、阅读活动开展等问题提供指导，确保项目落地见效。</w:t>
      </w:r>
    </w:p>
    <w:p w14:paraId="34EB97C1">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11" w:name="heading_11"/>
      <w:r>
        <w:rPr>
          <w:rFonts w:hint="eastAsia" w:ascii="方正仿宋_GB2312" w:hAnsi="方正仿宋_GB2312" w:eastAsia="方正仿宋_GB2312" w:cs="方正仿宋_GB2312"/>
          <w:b/>
          <w:sz w:val="40"/>
          <w:szCs w:val="40"/>
        </w:rPr>
        <w:t>三、项目执行成果</w:t>
      </w:r>
      <w:bookmarkEnd w:id="11"/>
    </w:p>
    <w:p w14:paraId="522F175F">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2" w:name="heading_12"/>
      <w:r>
        <w:rPr>
          <w:rFonts w:hint="eastAsia" w:ascii="方正仿宋_GB2312" w:hAnsi="方正仿宋_GB2312" w:eastAsia="方正仿宋_GB2312" w:cs="方正仿宋_GB2312"/>
          <w:b/>
          <w:sz w:val="30"/>
          <w:szCs w:val="30"/>
        </w:rPr>
        <w:t>（一）图书捐赠成果</w:t>
      </w:r>
      <w:bookmarkEnd w:id="12"/>
    </w:p>
    <w:p w14:paraId="0DF3F3F7">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捐赠规模与覆盖范围</w:t>
      </w:r>
      <w:r>
        <w:rPr>
          <w:rFonts w:hint="eastAsia" w:ascii="方正仿宋_GB2312" w:hAnsi="方正仿宋_GB2312" w:eastAsia="方正仿宋_GB2312" w:cs="方正仿宋_GB2312"/>
          <w:sz w:val="30"/>
          <w:szCs w:val="30"/>
        </w:rPr>
        <w:t>：2024 年项目累计捐赠建设 79 所爱心图书室，捐赠图书 8780000 码洋，覆盖重庆、安徽、江西、贵州、四川、河北、山东、云南、内蒙古、湖南、陕西、福建、甘肃、新疆、西藏、天津、河南、江苏、湖北等 19 个省市，重点覆盖边疆民族地区、偏远乡村地区的中小学。</w:t>
      </w:r>
    </w:p>
    <w:p w14:paraId="5CE7182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捐赠图书类别与适配性</w:t>
      </w:r>
      <w:r>
        <w:rPr>
          <w:rFonts w:hint="eastAsia" w:ascii="方正仿宋_GB2312" w:hAnsi="方正仿宋_GB2312" w:eastAsia="方正仿宋_GB2312" w:cs="方正仿宋_GB2312"/>
          <w:sz w:val="30"/>
          <w:szCs w:val="30"/>
        </w:rPr>
        <w:t>：捐赠图书涵盖少儿读物与绘本、科普与通识教育类、历史艺术哲学社科普及书籍、文学经典与名著、传统文化与价值观教育、家风教育等类别，符合《中小学生课外读物进校园管理办法》，内容健康积极，无意识形态问题，精准匹配乡村 K12 阶段学生的阅读需求，避免了过于专业或成人化的书籍。</w:t>
      </w:r>
    </w:p>
    <w:p w14:paraId="0EC2BC7C">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3" w:name="heading_13"/>
      <w:r>
        <w:rPr>
          <w:rFonts w:hint="eastAsia" w:ascii="方正仿宋_GB2312" w:hAnsi="方正仿宋_GB2312" w:eastAsia="方正仿宋_GB2312" w:cs="方正仿宋_GB2312"/>
          <w:b/>
          <w:sz w:val="30"/>
          <w:szCs w:val="30"/>
        </w:rPr>
        <w:t>（二）融媒体直播活动开展成效</w:t>
      </w:r>
      <w:bookmarkEnd w:id="13"/>
    </w:p>
    <w:p w14:paraId="6E11CEC1">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2024 年全年共举办融媒体直播活动 7 场，其中 5 场常规直播、2 场特别活动，邀请访谈嘉宾 86 位、特邀嘉宾 11 位。直播活动持续邀请文化界、教育界、演艺界知名人士（如杨洋、赵丽颖等）走进直播间，知名作家分享创作经历，教育专家讲解阅读方法与习惯养成，演艺明星为乡村孩子朗读经典篇章，借助嘉宾影响力为活动带来高关注度与话题性。通过主题纪录片与现场访谈，让广大青少年聆听生动故事，承继奋斗传统，有效提升了全民阅读推广的传播效果。</w:t>
      </w:r>
    </w:p>
    <w:p w14:paraId="5E0CD9E6">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4" w:name="heading_14"/>
      <w:r>
        <w:rPr>
          <w:rFonts w:hint="eastAsia" w:ascii="方正仿宋_GB2312" w:hAnsi="方正仿宋_GB2312" w:eastAsia="方正仿宋_GB2312" w:cs="方正仿宋_GB2312"/>
          <w:b/>
          <w:sz w:val="30"/>
          <w:szCs w:val="30"/>
        </w:rPr>
        <w:t>（三）项目宣传工作成效</w:t>
      </w:r>
      <w:bookmarkEnd w:id="14"/>
    </w:p>
    <w:p w14:paraId="383DB0A2">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项目构建了</w:t>
      </w:r>
      <w:r>
        <w:rPr>
          <w:rFonts w:hint="eastAsia" w:ascii="方正仿宋_GB2312" w:hAnsi="方正仿宋_GB2312" w:eastAsia="方正仿宋_GB2312" w:cs="方正仿宋_GB2312"/>
          <w:b/>
          <w:sz w:val="30"/>
          <w:szCs w:val="30"/>
        </w:rPr>
        <w:t>多阶段、多平台、多形式</w:t>
      </w:r>
      <w:r>
        <w:rPr>
          <w:rFonts w:hint="eastAsia" w:ascii="方正仿宋_GB2312" w:hAnsi="方正仿宋_GB2312" w:eastAsia="方正仿宋_GB2312" w:cs="方正仿宋_GB2312"/>
          <w:sz w:val="30"/>
          <w:szCs w:val="30"/>
        </w:rPr>
        <w:t>的宣传体系，实现了宣传全覆盖：</w:t>
      </w:r>
    </w:p>
    <w:p w14:paraId="0C127E48">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前期筹备宣传</w:t>
      </w:r>
      <w:r>
        <w:rPr>
          <w:rFonts w:hint="eastAsia" w:ascii="方正仿宋_GB2312" w:hAnsi="方正仿宋_GB2312" w:eastAsia="方正仿宋_GB2312" w:cs="方正仿宋_GB2312"/>
          <w:sz w:val="30"/>
          <w:szCs w:val="30"/>
        </w:rPr>
        <w:t>：通过制作海报公布直播平台、嘉宾、时间等信息，精准触达捐赠人；</w:t>
      </w:r>
    </w:p>
    <w:p w14:paraId="40BD0A94">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实施期间宣传</w:t>
      </w:r>
      <w:r>
        <w:rPr>
          <w:rFonts w:hint="eastAsia" w:ascii="方正仿宋_GB2312" w:hAnsi="方正仿宋_GB2312" w:eastAsia="方正仿宋_GB2312" w:cs="方正仿宋_GB2312"/>
          <w:sz w:val="30"/>
          <w:szCs w:val="30"/>
        </w:rPr>
        <w:t>：通过新华社、微赞等平台开展访谈直播，覆盖捐赠人、主持人及社会公众；</w:t>
      </w:r>
    </w:p>
    <w:p w14:paraId="6650BA8E">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媒体常态化宣传</w:t>
      </w:r>
      <w:r>
        <w:rPr>
          <w:rFonts w:hint="eastAsia" w:ascii="方正仿宋_GB2312" w:hAnsi="方正仿宋_GB2312" w:eastAsia="方正仿宋_GB2312" w:cs="方正仿宋_GB2312"/>
          <w:sz w:val="30"/>
          <w:szCs w:val="30"/>
        </w:rPr>
        <w:t>：通过央视频、中青网、文旅中国、爱奇艺、腾讯、哔哩哔哩、优酷、今日头条等主流媒体与新媒体平台发布领读视频、访谈视频，同时通过 “阅读阅中国” 官方公众号发布项目动态，形成了全方位的宣传矩阵，有效扩大了项目影响力。</w:t>
      </w:r>
    </w:p>
    <w:p w14:paraId="160D6BDA">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5" w:name="heading_15"/>
      <w:r>
        <w:rPr>
          <w:rFonts w:hint="eastAsia" w:ascii="方正仿宋_GB2312" w:hAnsi="方正仿宋_GB2312" w:eastAsia="方正仿宋_GB2312" w:cs="方正仿宋_GB2312"/>
          <w:b/>
          <w:sz w:val="30"/>
          <w:szCs w:val="30"/>
        </w:rPr>
        <w:t>（四）项目经费使用情况</w:t>
      </w:r>
      <w:bookmarkEnd w:id="15"/>
    </w:p>
    <w:p w14:paraId="7476D767">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 2024 年实际支出经费总额为 16505082.88 元，经费实行专款专用，核心支出为图书捐赠与直播活动两大板块：其中图书捐赠板块经手人为李翠芬，批准人为江晨悦，累计支出 7900000 元；直播活动板块累计支出 4900000 元，所有经费支出均附完整票据凭证复印件，资金使用全程可追溯、可核查，符合公益项目资金管理规范。</w:t>
      </w:r>
    </w:p>
    <w:p w14:paraId="097C6D56">
      <w:pPr>
        <w:spacing w:before="120" w:after="120" w:line="288" w:lineRule="auto"/>
        <w:ind w:left="0"/>
        <w:jc w:val="left"/>
        <w:rPr>
          <w:rFonts w:hint="eastAsia" w:ascii="方正仿宋_GB2312" w:hAnsi="方正仿宋_GB2312" w:eastAsia="方正仿宋_GB2312" w:cs="方正仿宋_GB2312"/>
          <w:sz w:val="30"/>
          <w:szCs w:val="30"/>
        </w:rPr>
      </w:pPr>
    </w:p>
    <w:p w14:paraId="40D8E6CA">
      <w:pPr>
        <w:spacing w:before="120" w:after="120" w:line="288" w:lineRule="auto"/>
        <w:ind w:left="0"/>
        <w:jc w:val="left"/>
        <w:rPr>
          <w:rFonts w:hint="eastAsia" w:ascii="方正仿宋_GB2312" w:hAnsi="方正仿宋_GB2312" w:eastAsia="方正仿宋_GB2312" w:cs="方正仿宋_GB2312"/>
          <w:sz w:val="30"/>
          <w:szCs w:val="30"/>
        </w:rPr>
      </w:pPr>
    </w:p>
    <w:p w14:paraId="74CE78AE">
      <w:pPr>
        <w:spacing w:before="120" w:after="120" w:line="288" w:lineRule="auto"/>
        <w:ind w:left="0"/>
        <w:jc w:val="left"/>
        <w:rPr>
          <w:rFonts w:hint="eastAsia" w:ascii="方正仿宋_GB2312" w:hAnsi="方正仿宋_GB2312" w:eastAsia="方正仿宋_GB2312" w:cs="方正仿宋_GB2312"/>
          <w:sz w:val="30"/>
          <w:szCs w:val="30"/>
        </w:rPr>
      </w:pPr>
    </w:p>
    <w:p w14:paraId="63632DD9">
      <w:pPr>
        <w:spacing w:before="120" w:after="120" w:line="288" w:lineRule="auto"/>
        <w:ind w:left="0"/>
        <w:jc w:val="left"/>
        <w:rPr>
          <w:rFonts w:hint="eastAsia" w:ascii="方正仿宋_GB2312" w:hAnsi="方正仿宋_GB2312" w:eastAsia="方正仿宋_GB2312" w:cs="方正仿宋_GB2312"/>
          <w:sz w:val="30"/>
          <w:szCs w:val="30"/>
        </w:rPr>
      </w:pPr>
    </w:p>
    <w:p w14:paraId="6544E123">
      <w:pPr>
        <w:spacing w:before="120" w:after="120" w:line="288" w:lineRule="auto"/>
        <w:ind w:left="0"/>
        <w:jc w:val="left"/>
        <w:rPr>
          <w:rFonts w:hint="eastAsia" w:ascii="方正仿宋_GB2312" w:hAnsi="方正仿宋_GB2312" w:eastAsia="方正仿宋_GB2312" w:cs="方正仿宋_GB2312"/>
          <w:sz w:val="30"/>
          <w:szCs w:val="30"/>
        </w:rPr>
      </w:pPr>
    </w:p>
    <w:p w14:paraId="18458C99">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16" w:name="heading_16"/>
      <w:r>
        <w:rPr>
          <w:rFonts w:hint="eastAsia" w:ascii="方正仿宋_GB2312" w:hAnsi="方正仿宋_GB2312" w:eastAsia="方正仿宋_GB2312" w:cs="方正仿宋_GB2312"/>
          <w:b/>
          <w:sz w:val="40"/>
          <w:szCs w:val="40"/>
        </w:rPr>
        <w:t>四、项目的积累与发展</w:t>
      </w:r>
      <w:bookmarkEnd w:id="16"/>
    </w:p>
    <w:p w14:paraId="590904C7">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7" w:name="heading_17"/>
      <w:r>
        <w:rPr>
          <w:rFonts w:hint="eastAsia" w:ascii="方正仿宋_GB2312" w:hAnsi="方正仿宋_GB2312" w:eastAsia="方正仿宋_GB2312" w:cs="方正仿宋_GB2312"/>
          <w:b/>
          <w:sz w:val="30"/>
          <w:szCs w:val="30"/>
        </w:rPr>
        <w:t>（一）项目实施积累的核心经验</w:t>
      </w:r>
      <w:bookmarkEnd w:id="17"/>
    </w:p>
    <w:p w14:paraId="6932DC00">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打造了可复制的公益模式</w:t>
      </w:r>
      <w:r>
        <w:rPr>
          <w:rFonts w:hint="eastAsia" w:ascii="方正仿宋_GB2312" w:hAnsi="方正仿宋_GB2312" w:eastAsia="方正仿宋_GB2312" w:cs="方正仿宋_GB2312"/>
          <w:sz w:val="30"/>
          <w:szCs w:val="30"/>
        </w:rPr>
        <w:t>：项目通过融媒体公益活动为核心载体，实现了 “捐书 + 读书 + 圆梦” 三位一体的公益模式，将图书捐赠的物质帮扶与阅读推广、精神引领的文化帮扶相结合，为乡村全民阅读推广提供了可复制、可推广的实践经验。</w:t>
      </w:r>
    </w:p>
    <w:p w14:paraId="6A26FCAB">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建立了多元化的合作体系</w:t>
      </w:r>
      <w:r>
        <w:rPr>
          <w:rFonts w:hint="eastAsia" w:ascii="方正仿宋_GB2312" w:hAnsi="方正仿宋_GB2312" w:eastAsia="方正仿宋_GB2312" w:cs="方正仿宋_GB2312"/>
          <w:sz w:val="30"/>
          <w:szCs w:val="30"/>
        </w:rPr>
        <w:t>：项目实施过程中，与政府部门、主流媒体、物流企业、教育机构、公益组织等建立了深度合作关系，形成了 “政府引导、基金会主导、社会各界参与” 的公益合作体系，为项目持续开展奠定了坚实的合作基础。</w:t>
      </w:r>
    </w:p>
    <w:p w14:paraId="32F5A5D8">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培养了专业化的项目运营团队</w:t>
      </w:r>
      <w:r>
        <w:rPr>
          <w:rFonts w:hint="eastAsia" w:ascii="方正仿宋_GB2312" w:hAnsi="方正仿宋_GB2312" w:eastAsia="方正仿宋_GB2312" w:cs="方正仿宋_GB2312"/>
          <w:sz w:val="30"/>
          <w:szCs w:val="30"/>
        </w:rPr>
        <w:t>：通过全年项目的全流程实施，项目办团队在受助群体筛选、图书选品与捐赠、融媒体活动策划与运营、项目宣传、风险防控等方面积累了丰富的实操经验，团队专业能力与协作能力得到显著提升，成为项目持续发展的核心人才支撑。</w:t>
      </w:r>
    </w:p>
    <w:p w14:paraId="67B4502B">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积累了优质的公益资源</w:t>
      </w:r>
      <w:r>
        <w:rPr>
          <w:rFonts w:hint="eastAsia" w:ascii="方正仿宋_GB2312" w:hAnsi="方正仿宋_GB2312" w:eastAsia="方正仿宋_GB2312" w:cs="方正仿宋_GB2312"/>
          <w:sz w:val="30"/>
          <w:szCs w:val="30"/>
        </w:rPr>
        <w:t>：项目邀请了众多文化名家、行业模范、演艺明星作为 “领读者”，与央视频、中青网等主流媒体建立了常态化合作，凝聚了一大批爱心企业、志愿者与社会公众，积累了丰富的人力、媒体、社会资源，为项目后续发展提供了资源保障。</w:t>
      </w:r>
    </w:p>
    <w:p w14:paraId="5144B0B3">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形成了标准化的项目实施流程</w:t>
      </w:r>
      <w:r>
        <w:rPr>
          <w:rFonts w:hint="eastAsia" w:ascii="方正仿宋_GB2312" w:hAnsi="方正仿宋_GB2312" w:eastAsia="方正仿宋_GB2312" w:cs="方正仿宋_GB2312"/>
          <w:sz w:val="30"/>
          <w:szCs w:val="30"/>
        </w:rPr>
        <w:t>：从受助学校筛选、图书选品与捐赠，到直播活动策划与运营、项目落地与跟踪，项目逐步形成了一套标准化、规范化的实施流程，明确了各环节的工作要求与责任主体，提升了项目实施的效率与质量。</w:t>
      </w:r>
    </w:p>
    <w:p w14:paraId="463873F2">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18" w:name="heading_18"/>
      <w:r>
        <w:rPr>
          <w:rFonts w:hint="eastAsia" w:ascii="方正仿宋_GB2312" w:hAnsi="方正仿宋_GB2312" w:eastAsia="方正仿宋_GB2312" w:cs="方正仿宋_GB2312"/>
          <w:b/>
          <w:sz w:val="30"/>
          <w:szCs w:val="30"/>
        </w:rPr>
        <w:t>（二）项目后续发展规划</w:t>
      </w:r>
      <w:bookmarkEnd w:id="18"/>
    </w:p>
    <w:p w14:paraId="2A97DC64">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基于 2024 年项目实施的积累，结合乡村青少年阅读需求与全民阅读推广的社会趋势，项目制定了六大发展规划，推动项目持续升级与发展：</w:t>
      </w:r>
    </w:p>
    <w:p w14:paraId="3F731E5C">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扩大覆盖范围</w:t>
      </w:r>
      <w:r>
        <w:rPr>
          <w:rFonts w:hint="eastAsia" w:ascii="方正仿宋_GB2312" w:hAnsi="方正仿宋_GB2312" w:eastAsia="方正仿宋_GB2312" w:cs="方正仿宋_GB2312"/>
          <w:sz w:val="30"/>
          <w:szCs w:val="30"/>
        </w:rPr>
        <w:t>：将项目从现有覆盖区域逐步扩展至全国所有有图书需求的乡村中小学，重点关注中西部偏远地区、边疆民族地区、革命老区的阅读资源匮乏问题；</w:t>
      </w:r>
    </w:p>
    <w:p w14:paraId="114F1DA4">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建立长效机制</w:t>
      </w:r>
      <w:r>
        <w:rPr>
          <w:rFonts w:hint="eastAsia" w:ascii="方正仿宋_GB2312" w:hAnsi="方正仿宋_GB2312" w:eastAsia="方正仿宋_GB2312" w:cs="方正仿宋_GB2312"/>
          <w:sz w:val="30"/>
          <w:szCs w:val="30"/>
        </w:rPr>
        <w:t>：将 “阅读阅中国” 打造为年度固定公益项目，形成常态化的全民阅读推广与乡村图书捐赠机制，持续为乡村青少年提供阅读支持；</w:t>
      </w:r>
    </w:p>
    <w:p w14:paraId="615E42E2">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丰富活动形式</w:t>
      </w:r>
      <w:r>
        <w:rPr>
          <w:rFonts w:hint="eastAsia" w:ascii="方正仿宋_GB2312" w:hAnsi="方正仿宋_GB2312" w:eastAsia="方正仿宋_GB2312" w:cs="方正仿宋_GB2312"/>
          <w:sz w:val="30"/>
          <w:szCs w:val="30"/>
        </w:rPr>
        <w:t>：在现有直播、捐书的基础上，开发更具吸引力的阅读推广方式，如开展乡村阅读夏令营、领读者线下进校园、亲子阅读大赛等活动，提升青少年的阅读参与度；</w:t>
      </w:r>
    </w:p>
    <w:p w14:paraId="4DE46651">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加强数字赋能</w:t>
      </w:r>
      <w:r>
        <w:rPr>
          <w:rFonts w:hint="eastAsia" w:ascii="方正仿宋_GB2312" w:hAnsi="方正仿宋_GB2312" w:eastAsia="方正仿宋_GB2312" w:cs="方正仿宋_GB2312"/>
          <w:sz w:val="30"/>
          <w:szCs w:val="30"/>
        </w:rPr>
        <w:t>：参考数字中国建设经验，探索线上线下结合的阅读推广新模式，搭建线上数字阅读平台，为乡村青少年提供优质数字阅读资源，弥补线下阅读资源的不足；</w:t>
      </w:r>
    </w:p>
    <w:p w14:paraId="3F9B8669">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深化内容建设</w:t>
      </w:r>
      <w:r>
        <w:rPr>
          <w:rFonts w:hint="eastAsia" w:ascii="方正仿宋_GB2312" w:hAnsi="方正仿宋_GB2312" w:eastAsia="方正仿宋_GB2312" w:cs="方正仿宋_GB2312"/>
          <w:sz w:val="30"/>
          <w:szCs w:val="30"/>
        </w:rPr>
        <w:t>：组建专业的选书团队，参考 “百家万品” 选品工程的做法，进一步优化图书选品体系，确保捐赠图书的质量与适配性，同时开发针对性的阅读指导课程，提升乡村青少年的阅读能力；</w:t>
      </w:r>
    </w:p>
    <w:p w14:paraId="058099A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完善评估体系</w:t>
      </w:r>
      <w:r>
        <w:rPr>
          <w:rFonts w:hint="eastAsia" w:ascii="方正仿宋_GB2312" w:hAnsi="方正仿宋_GB2312" w:eastAsia="方正仿宋_GB2312" w:cs="方正仿宋_GB2312"/>
          <w:sz w:val="30"/>
          <w:szCs w:val="30"/>
        </w:rPr>
        <w:t>：借鉴 “全民阅读优秀项目” 评选标准，建立科学的项目评估机制，从图书捐赠落地、阅读活动开展、受益学生阅读能力提升、社会影响力等多个维度进行项目评估，根据评估结果持续优化项目实施内容。</w:t>
      </w:r>
    </w:p>
    <w:p w14:paraId="34D06C40">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19" w:name="heading_19"/>
      <w:r>
        <w:rPr>
          <w:rFonts w:hint="eastAsia" w:ascii="方正仿宋_GB2312" w:hAnsi="方正仿宋_GB2312" w:eastAsia="方正仿宋_GB2312" w:cs="方正仿宋_GB2312"/>
          <w:b/>
          <w:sz w:val="40"/>
          <w:szCs w:val="40"/>
        </w:rPr>
        <w:t>五、项目效果阐述与目标达成情况</w:t>
      </w:r>
      <w:bookmarkEnd w:id="19"/>
    </w:p>
    <w:p w14:paraId="7F36E021">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0" w:name="heading_20"/>
      <w:r>
        <w:rPr>
          <w:rFonts w:hint="eastAsia" w:ascii="方正仿宋_GB2312" w:hAnsi="方正仿宋_GB2312" w:eastAsia="方正仿宋_GB2312" w:cs="方正仿宋_GB2312"/>
          <w:b/>
          <w:sz w:val="30"/>
          <w:szCs w:val="30"/>
        </w:rPr>
        <w:t>（一）项目核心效果阐述</w:t>
      </w:r>
      <w:bookmarkEnd w:id="20"/>
    </w:p>
    <w:p w14:paraId="37126533">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2024 年 “阅读阅中国” 项目通过图书捐赠、爱心图书室建设、融媒体阅读推广等一系列举措，实现了</w:t>
      </w:r>
      <w:r>
        <w:rPr>
          <w:rFonts w:hint="eastAsia" w:ascii="方正仿宋_GB2312" w:hAnsi="方正仿宋_GB2312" w:eastAsia="方正仿宋_GB2312" w:cs="方正仿宋_GB2312"/>
          <w:b/>
          <w:sz w:val="30"/>
          <w:szCs w:val="30"/>
        </w:rPr>
        <w:t>物质帮扶、文化传播、能力提升、社会凝聚</w:t>
      </w:r>
      <w:r>
        <w:rPr>
          <w:rFonts w:hint="eastAsia" w:ascii="方正仿宋_GB2312" w:hAnsi="方正仿宋_GB2312" w:eastAsia="方正仿宋_GB2312" w:cs="方正仿宋_GB2312"/>
          <w:sz w:val="30"/>
          <w:szCs w:val="30"/>
        </w:rPr>
        <w:t>的多重效果，具体体现在四方面：</w:t>
      </w:r>
    </w:p>
    <w:p w14:paraId="11572704">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改善乡村阅读硬件条件</w:t>
      </w:r>
      <w:r>
        <w:rPr>
          <w:rFonts w:hint="eastAsia" w:ascii="方正仿宋_GB2312" w:hAnsi="方正仿宋_GB2312" w:eastAsia="方正仿宋_GB2312" w:cs="方正仿宋_GB2312"/>
          <w:sz w:val="30"/>
          <w:szCs w:val="30"/>
        </w:rPr>
        <w:t>：79 所爱心图书室的建设与 8780000 码洋优质图书的捐赠，直接弥补了乡村中小学阅读资源匮乏的短板，为乡村青少年提供了丰富的阅读素材，让乡村孩子有书读、读好书；</w:t>
      </w:r>
    </w:p>
    <w:p w14:paraId="05824EA6">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营造乡村阅读浓厚氛围</w:t>
      </w:r>
      <w:r>
        <w:rPr>
          <w:rFonts w:hint="eastAsia" w:ascii="方正仿宋_GB2312" w:hAnsi="方正仿宋_GB2312" w:eastAsia="方正仿宋_GB2312" w:cs="方正仿宋_GB2312"/>
          <w:sz w:val="30"/>
          <w:szCs w:val="30"/>
        </w:rPr>
        <w:t>：通过融媒体直播活动的阅读推广与领读者引领，乡村学校的学生逐步养成了每天阅读的良好习惯，带动了家庭与社区的阅读风气，家长开始重视孩子的课外阅读，甚至参与到亲子阅读活动中，形成了 “学生爱读、家长支持、学校推动” 的乡村阅读氛围；</w:t>
      </w:r>
    </w:p>
    <w:p w14:paraId="36070A62">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提升乡村青少年综合能力</w:t>
      </w:r>
      <w:r>
        <w:rPr>
          <w:rFonts w:hint="eastAsia" w:ascii="方正仿宋_GB2312" w:hAnsi="方正仿宋_GB2312" w:eastAsia="方正仿宋_GB2312" w:cs="方正仿宋_GB2312"/>
          <w:sz w:val="30"/>
          <w:szCs w:val="30"/>
        </w:rPr>
        <w:t>：丰富的图书资源拓宽了乡村青少年的知识视野，提升了其科学文化素质与思想道德素质，直播活动中教育专家的阅读指导与学习方法分享，帮助乡村青少年掌握了科学的阅读方法，阅读能力与学习能力得到双重提升；</w:t>
      </w:r>
    </w:p>
    <w:p w14:paraId="6EFF6A7B">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推动乡村教育可持续发展</w:t>
      </w:r>
      <w:r>
        <w:rPr>
          <w:rFonts w:hint="eastAsia" w:ascii="方正仿宋_GB2312" w:hAnsi="方正仿宋_GB2312" w:eastAsia="方正仿宋_GB2312" w:cs="方正仿宋_GB2312"/>
          <w:sz w:val="30"/>
          <w:szCs w:val="30"/>
        </w:rPr>
        <w:t>：项目为乡村学校培养了一批图书管理员与阅读推广志愿者，为学校自主开展阅读活动提供了人才支撑，同时优质阅读资源与教育资源的输入，弥补了因地域限制导致的教育差距，为乡村教育的可持续发展注入了新的活力。</w:t>
      </w:r>
    </w:p>
    <w:p w14:paraId="1539865F">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1" w:name="heading_21"/>
      <w:r>
        <w:rPr>
          <w:rFonts w:hint="eastAsia" w:ascii="方正仿宋_GB2312" w:hAnsi="方正仿宋_GB2312" w:eastAsia="方正仿宋_GB2312" w:cs="方正仿宋_GB2312"/>
          <w:b/>
          <w:sz w:val="30"/>
          <w:szCs w:val="30"/>
        </w:rPr>
        <w:t>（二）项目目标达成情况</w:t>
      </w:r>
      <w:bookmarkEnd w:id="21"/>
    </w:p>
    <w:p w14:paraId="3D6742F4">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 2024 年预期目标为 “营造全社会爱读书、读好书、善读书的浓厚氛围，推动全民阅读成为生活方式和社会风尚，以满足乡村孩子阅读期待为核心，帮助乡村青少年提升阅读兴趣和能力，增强综合素养”。从实施成果来看，</w:t>
      </w:r>
      <w:r>
        <w:rPr>
          <w:rFonts w:hint="eastAsia" w:ascii="方正仿宋_GB2312" w:hAnsi="方正仿宋_GB2312" w:eastAsia="方正仿宋_GB2312" w:cs="方正仿宋_GB2312"/>
          <w:b/>
          <w:sz w:val="30"/>
          <w:szCs w:val="30"/>
        </w:rPr>
        <w:t>项目已全面达成预期目标</w:t>
      </w:r>
      <w:r>
        <w:rPr>
          <w:rFonts w:hint="eastAsia" w:ascii="方正仿宋_GB2312" w:hAnsi="方正仿宋_GB2312" w:eastAsia="方正仿宋_GB2312" w:cs="方正仿宋_GB2312"/>
          <w:sz w:val="30"/>
          <w:szCs w:val="30"/>
        </w:rPr>
        <w:t>，部分指标超额完成：</w:t>
      </w:r>
    </w:p>
    <w:p w14:paraId="3AF8815C">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全民阅读氛围营造目标</w:t>
      </w:r>
      <w:r>
        <w:rPr>
          <w:rFonts w:hint="eastAsia" w:ascii="方正仿宋_GB2312" w:hAnsi="方正仿宋_GB2312" w:eastAsia="方正仿宋_GB2312" w:cs="方正仿宋_GB2312"/>
          <w:sz w:val="30"/>
          <w:szCs w:val="30"/>
        </w:rPr>
        <w:t>：通过多平台、多形式的融媒体宣传与直播活动，项目在全社会范围内广泛传播阅读理念，激发了大众的阅读热情，从城市到乡村形成了浓厚的阅读氛围，有效响应了国家 “深入推进全民阅读，建设书香中国” 的号召；</w:t>
      </w:r>
    </w:p>
    <w:p w14:paraId="0292DD6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乡村阅读资源补给目标</w:t>
      </w:r>
      <w:r>
        <w:rPr>
          <w:rFonts w:hint="eastAsia" w:ascii="方正仿宋_GB2312" w:hAnsi="方正仿宋_GB2312" w:eastAsia="方正仿宋_GB2312" w:cs="方正仿宋_GB2312"/>
          <w:sz w:val="30"/>
          <w:szCs w:val="30"/>
        </w:rPr>
        <w:t>：预期为乡村学校提供优质阅读资源，实际完成 79 所爱心图书室建设，捐赠图书 8780000 码洋，覆盖 19 个省市，受益人数达 150 万人，超额完成了年度阅读资源补给的核心指标；</w:t>
      </w:r>
    </w:p>
    <w:p w14:paraId="1F419B65">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乡村青少年阅读能力提升目标</w:t>
      </w:r>
      <w:r>
        <w:rPr>
          <w:rFonts w:hint="eastAsia" w:ascii="方正仿宋_GB2312" w:hAnsi="方正仿宋_GB2312" w:eastAsia="方正仿宋_GB2312" w:cs="方正仿宋_GB2312"/>
          <w:sz w:val="30"/>
          <w:szCs w:val="30"/>
        </w:rPr>
        <w:t>：通过图书捐赠、阅读指导、领读者引领等举措，乡村青少年的阅读兴趣显著提升，阅读习惯逐步养成，阅读能力与综合素养得到有效提升，实现了 “满足乡村孩子阅读期待” 的核心宗旨；</w:t>
      </w:r>
    </w:p>
    <w:p w14:paraId="07B22804">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教育公平推动目标</w:t>
      </w:r>
      <w:r>
        <w:rPr>
          <w:rFonts w:hint="eastAsia" w:ascii="方正仿宋_GB2312" w:hAnsi="方正仿宋_GB2312" w:eastAsia="方正仿宋_GB2312" w:cs="方正仿宋_GB2312"/>
          <w:sz w:val="30"/>
          <w:szCs w:val="30"/>
        </w:rPr>
        <w:t>：通过优质教育与阅读资源向乡村的输送，有效弥补了乡村教育资源短板，推动了城乡教育资源的均衡配置，助力了教育公平的实现，达成了项目的社会价值目标。</w:t>
      </w:r>
    </w:p>
    <w:p w14:paraId="55B71AFC">
      <w:pPr>
        <w:spacing w:before="320" w:after="120" w:line="288" w:lineRule="auto"/>
        <w:ind w:left="0"/>
        <w:jc w:val="left"/>
        <w:outlineLvl w:val="1"/>
        <w:rPr>
          <w:rFonts w:hint="eastAsia" w:ascii="方正仿宋_GB2312" w:hAnsi="方正仿宋_GB2312" w:eastAsia="方正仿宋_GB2312" w:cs="方正仿宋_GB2312"/>
          <w:b/>
          <w:sz w:val="40"/>
          <w:szCs w:val="40"/>
        </w:rPr>
      </w:pPr>
      <w:bookmarkStart w:id="22" w:name="heading_22"/>
    </w:p>
    <w:p w14:paraId="12222AC8">
      <w:pPr>
        <w:spacing w:before="320" w:after="120" w:line="288" w:lineRule="auto"/>
        <w:ind w:left="0"/>
        <w:jc w:val="left"/>
        <w:outlineLvl w:val="1"/>
        <w:rPr>
          <w:rFonts w:hint="eastAsia" w:ascii="方正仿宋_GB2312" w:hAnsi="方正仿宋_GB2312" w:eastAsia="方正仿宋_GB2312" w:cs="方正仿宋_GB2312"/>
          <w:b/>
          <w:sz w:val="40"/>
          <w:szCs w:val="40"/>
        </w:rPr>
      </w:pPr>
    </w:p>
    <w:p w14:paraId="43EA8ED0">
      <w:pPr>
        <w:spacing w:before="320" w:after="120" w:line="288" w:lineRule="auto"/>
        <w:ind w:left="0"/>
        <w:jc w:val="left"/>
        <w:outlineLvl w:val="1"/>
        <w:rPr>
          <w:rFonts w:hint="eastAsia" w:ascii="方正仿宋_GB2312" w:hAnsi="方正仿宋_GB2312" w:eastAsia="方正仿宋_GB2312" w:cs="方正仿宋_GB2312"/>
          <w:sz w:val="40"/>
          <w:szCs w:val="40"/>
        </w:rPr>
      </w:pPr>
      <w:r>
        <w:rPr>
          <w:rFonts w:hint="eastAsia" w:ascii="方正仿宋_GB2312" w:hAnsi="方正仿宋_GB2312" w:eastAsia="方正仿宋_GB2312" w:cs="方正仿宋_GB2312"/>
          <w:b/>
          <w:sz w:val="40"/>
          <w:szCs w:val="40"/>
        </w:rPr>
        <w:t>六、项目社会影响力</w:t>
      </w:r>
      <w:bookmarkEnd w:id="22"/>
    </w:p>
    <w:p w14:paraId="0876D387">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3" w:name="heading_23"/>
      <w:r>
        <w:rPr>
          <w:rFonts w:hint="eastAsia" w:ascii="方正仿宋_GB2312" w:hAnsi="方正仿宋_GB2312" w:eastAsia="方正仿宋_GB2312" w:cs="方正仿宋_GB2312"/>
          <w:b/>
          <w:sz w:val="30"/>
          <w:szCs w:val="30"/>
        </w:rPr>
        <w:t>（一）推动全民阅读风尚形成，助力书香中国建设</w:t>
      </w:r>
      <w:bookmarkEnd w:id="23"/>
    </w:p>
    <w:p w14:paraId="13523B19">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以融媒体为纽带，将全民阅读推广从城市延伸至乡村，通过图书捐赠、直播领读、社会宣传等形式，让阅读理念深入人心，激发了全社会的阅读热情，越来越多的人开始关注阅读、参与阅读，推动了全民阅读成为一种生活方式和社会风尚，为国家 “建设书香中国” 的战略目标奠定了坚实的基层基础。</w:t>
      </w:r>
    </w:p>
    <w:p w14:paraId="4A33E1B4">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4" w:name="heading_24"/>
      <w:r>
        <w:rPr>
          <w:rFonts w:hint="eastAsia" w:ascii="方正仿宋_GB2312" w:hAnsi="方正仿宋_GB2312" w:eastAsia="方正仿宋_GB2312" w:cs="方正仿宋_GB2312"/>
          <w:b/>
          <w:sz w:val="30"/>
          <w:szCs w:val="30"/>
        </w:rPr>
        <w:t>（二）助力乡村教育振兴，推动教育公平发展</w:t>
      </w:r>
      <w:bookmarkEnd w:id="24"/>
    </w:p>
    <w:p w14:paraId="3A6695D9">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聚焦乡村教育发展的核心短板，通过阅读资源补给、阅读能力提升、教育资源输送等举措，改善了乡村教育的硬件与软件条件，弥补了城乡教育差距，为乡村教育振兴注入了新的活力。同时，项目受益群体覆盖边疆民族地区、偏远乡村地区，兼顾了不同民族、不同地域的教育需求，推动了教育公平与均衡发展，助力乡村振兴战略的实施。</w:t>
      </w:r>
    </w:p>
    <w:p w14:paraId="455A7D67">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5" w:name="heading_25"/>
      <w:r>
        <w:rPr>
          <w:rFonts w:hint="eastAsia" w:ascii="方正仿宋_GB2312" w:hAnsi="方正仿宋_GB2312" w:eastAsia="方正仿宋_GB2312" w:cs="方正仿宋_GB2312"/>
          <w:b/>
          <w:sz w:val="30"/>
          <w:szCs w:val="30"/>
        </w:rPr>
        <w:t>（三）促进中华优秀传统文化传承与多元文化交流</w:t>
      </w:r>
      <w:bookmarkEnd w:id="25"/>
    </w:p>
    <w:p w14:paraId="6E0BD982">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捐赠的图书中包含大量中华优秀传统文化、地方特色文化与世界多元文化书籍，乡村青少年通过阅读深入了解中华民族的悠久历史与灿烂文化，增强了文化认同感与自豪感，推动了中华优秀传统文化的传承与弘扬。在少数民族聚居地区，民族文化、民俗风情类图书让年轻一代更加了解本民族文化传统，促进了民族文化传承；同时，多元文化书籍拓宽了青少年的国际视野，培养了其文化包容精神，推动了文化的交流与融合。</w:t>
      </w:r>
    </w:p>
    <w:p w14:paraId="6E1C0679">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6" w:name="heading_26"/>
      <w:r>
        <w:rPr>
          <w:rFonts w:hint="eastAsia" w:ascii="方正仿宋_GB2312" w:hAnsi="方正仿宋_GB2312" w:eastAsia="方正仿宋_GB2312" w:cs="方正仿宋_GB2312"/>
          <w:b/>
          <w:sz w:val="30"/>
          <w:szCs w:val="30"/>
        </w:rPr>
        <w:t>（四）凝聚全社会公益力量，增强社会凝聚力与向心力</w:t>
      </w:r>
      <w:bookmarkEnd w:id="26"/>
    </w:p>
    <w:p w14:paraId="42BC74BE">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项目吸引了政府部门、社会组织、爱心企业、名人名家、普通民众、志愿者等社会各界的广泛参与，各方为了 “推动乡村青少年阅读” 的共同目标凝聚在一起，形成了全民参与的公益氛围。爱心企业通过捐赠履行社会责任，名人名家利用自身影响力宣传阅读理念，志愿者积极参与图书配送与阅读推广，这种全社会的协同参与，增强了社会成员之间的联系与合作，优化了社会资源配置，让人们感受到社会的温暖与力量，显著提升了社会凝聚力与向心力，有利于构建和谐美好的社会环境。</w:t>
      </w:r>
    </w:p>
    <w:p w14:paraId="649BF7FE">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27" w:name="heading_27"/>
      <w:r>
        <w:rPr>
          <w:rFonts w:hint="eastAsia" w:ascii="方正仿宋_GB2312" w:hAnsi="方正仿宋_GB2312" w:eastAsia="方正仿宋_GB2312" w:cs="方正仿宋_GB2312"/>
          <w:b/>
          <w:sz w:val="30"/>
          <w:szCs w:val="30"/>
        </w:rPr>
        <w:t>（五）树立公益项目标杆，推动公益事业创新发展</w:t>
      </w:r>
      <w:bookmarkEnd w:id="27"/>
    </w:p>
    <w:p w14:paraId="38EBF9EA">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项目打造的 “捐书 + 读书 + 圆梦” 三位一体公益模式，实现了媒体融合与公益项目的深度结合，为全民阅读推广与乡村公益项目实施提供了创新思路与实践范本。项目的标准化实施、规范化管理、多元化合作模式，成为公益项目运营的标杆，为其他公益组织开展同类项目提供了可复制、可推广的经验，推动了我国少年儿童公益事业与全民阅读公益事业的创新发展。</w:t>
      </w:r>
    </w:p>
    <w:p w14:paraId="46A52FD6">
      <w:pPr>
        <w:spacing w:before="120" w:after="120" w:line="288" w:lineRule="auto"/>
        <w:ind w:left="0"/>
        <w:jc w:val="left"/>
        <w:rPr>
          <w:rFonts w:hint="eastAsia" w:ascii="方正仿宋_GB2312" w:hAnsi="方正仿宋_GB2312" w:eastAsia="方正仿宋_GB2312" w:cs="方正仿宋_GB2312"/>
          <w:sz w:val="40"/>
          <w:szCs w:val="40"/>
        </w:rPr>
      </w:pPr>
      <w:r>
        <w:rPr>
          <w:rFonts w:hint="eastAsia" w:ascii="方正仿宋_GB2312" w:hAnsi="方正仿宋_GB2312" w:eastAsia="方正仿宋_GB2312" w:cs="方正仿宋_GB2312"/>
          <w:sz w:val="30"/>
          <w:szCs w:val="30"/>
        </w:rPr>
        <w:br w:type="page"/>
      </w:r>
      <w:bookmarkStart w:id="28" w:name="heading_28"/>
      <w:r>
        <w:rPr>
          <w:rFonts w:hint="eastAsia" w:ascii="方正仿宋_GB2312" w:hAnsi="方正仿宋_GB2312" w:eastAsia="方正仿宋_GB2312" w:cs="方正仿宋_GB2312"/>
          <w:b/>
          <w:sz w:val="40"/>
          <w:szCs w:val="40"/>
        </w:rPr>
        <w:t>七、参与疫情防控工作情况</w:t>
      </w:r>
      <w:bookmarkEnd w:id="28"/>
    </w:p>
    <w:p w14:paraId="2EFAD1BF">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2024 年疫情防控工作进入常态化阶段，“阅读阅中国” 项目在推进核心工作的同时，积极响应各地疫情防控要求，将疫情防控融入项目全流程实施，同时结合疫情防控背景为乡村青少年提供针对性的阅读支持，助力疫情防控常态化下的乡村教育与文化生活开展：</w:t>
      </w:r>
    </w:p>
    <w:p w14:paraId="5C65D172">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严格落实疫情防控要求</w:t>
      </w:r>
      <w:r>
        <w:rPr>
          <w:rFonts w:hint="eastAsia" w:ascii="方正仿宋_GB2312" w:hAnsi="方正仿宋_GB2312" w:eastAsia="方正仿宋_GB2312" w:cs="方正仿宋_GB2312"/>
          <w:sz w:val="30"/>
          <w:szCs w:val="30"/>
        </w:rPr>
        <w:t>：在直播活动、图书捐赠仪式、线下落地调研等各类线下活动中，严格遵守各地疫情防控政策，制定线下活动疫情防控方案，落实体温检测、扫码登记、人员限流、场地消毒等防控措施，确保活动参与人员的身体健康与生命安全，无疫情防控违规情况；</w:t>
      </w:r>
    </w:p>
    <w:p w14:paraId="208E30BC">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创新线上实施形式</w:t>
      </w:r>
      <w:r>
        <w:rPr>
          <w:rFonts w:hint="eastAsia" w:ascii="方正仿宋_GB2312" w:hAnsi="方正仿宋_GB2312" w:eastAsia="方正仿宋_GB2312" w:cs="方正仿宋_GB2312"/>
          <w:sz w:val="30"/>
          <w:szCs w:val="30"/>
        </w:rPr>
        <w:t>：针对部分地区疫情防控导致的线下活动不便问题，进一步优化线上融媒体传播形式，增加线上领读视频、云端阅读分享会等内容的制作与发布，让乡村青少年足不出户就能参与阅读活动、接受阅读指导，保障了阅读推广工作的连续性；</w:t>
      </w:r>
    </w:p>
    <w:p w14:paraId="1050947A">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捐赠疫情防控相关图书</w:t>
      </w:r>
      <w:r>
        <w:rPr>
          <w:rFonts w:hint="eastAsia" w:ascii="方正仿宋_GB2312" w:hAnsi="方正仿宋_GB2312" w:eastAsia="方正仿宋_GB2312" w:cs="方正仿宋_GB2312"/>
          <w:sz w:val="30"/>
          <w:szCs w:val="30"/>
        </w:rPr>
        <w:t>：在图书选品与捐赠中，增加了疫情防控知识、公共卫生健康、心理健康疏导等类别的图书，为乡村青少年普及疫情防控知识，疏导疫情期间的心理情绪，助力乡村学校开展疫情防控宣传与心理健康教育工作。</w:t>
      </w:r>
    </w:p>
    <w:p w14:paraId="41776F1D">
      <w:pPr>
        <w:numPr>
          <w:ilvl w:val="0"/>
          <w:numId w:val="0"/>
        </w:numPr>
        <w:spacing w:before="120" w:after="120" w:line="288" w:lineRule="auto"/>
        <w:jc w:val="left"/>
        <w:rPr>
          <w:rFonts w:hint="eastAsia" w:ascii="方正仿宋_GB2312" w:hAnsi="方正仿宋_GB2312" w:eastAsia="方正仿宋_GB2312" w:cs="方正仿宋_GB2312"/>
          <w:sz w:val="40"/>
          <w:szCs w:val="40"/>
        </w:rPr>
      </w:pPr>
      <w:r>
        <w:rPr>
          <w:rFonts w:hint="eastAsia" w:ascii="方正仿宋_GB2312" w:hAnsi="方正仿宋_GB2312" w:eastAsia="方正仿宋_GB2312" w:cs="方正仿宋_GB2312"/>
          <w:sz w:val="30"/>
          <w:szCs w:val="30"/>
        </w:rPr>
        <w:br w:type="page"/>
      </w:r>
      <w:bookmarkStart w:id="29" w:name="heading_29"/>
      <w:r>
        <w:rPr>
          <w:rFonts w:hint="eastAsia" w:ascii="方正仿宋_GB2312" w:hAnsi="方正仿宋_GB2312" w:eastAsia="方正仿宋_GB2312" w:cs="方正仿宋_GB2312"/>
          <w:b/>
          <w:sz w:val="40"/>
          <w:szCs w:val="40"/>
        </w:rPr>
        <w:t>八、服务国家战略相关工作情况</w:t>
      </w:r>
      <w:bookmarkEnd w:id="29"/>
    </w:p>
    <w:p w14:paraId="0CA14DC4">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“阅读阅中国” 项目的实施始终紧扣国家重大发展战略，将项目发展与国家战略同频共振，切实发挥公益项目的社会价值，重点服务</w:t>
      </w:r>
      <w:r>
        <w:rPr>
          <w:rFonts w:hint="eastAsia" w:ascii="方正仿宋_GB2312" w:hAnsi="方正仿宋_GB2312" w:eastAsia="方正仿宋_GB2312" w:cs="方正仿宋_GB2312"/>
          <w:b/>
          <w:sz w:val="30"/>
          <w:szCs w:val="30"/>
        </w:rPr>
        <w:t>全民阅读战略、乡村振兴战略、教育公平战略、文化强国战略</w:t>
      </w:r>
      <w:r>
        <w:rPr>
          <w:rFonts w:hint="eastAsia" w:ascii="方正仿宋_GB2312" w:hAnsi="方正仿宋_GB2312" w:eastAsia="方正仿宋_GB2312" w:cs="方正仿宋_GB2312"/>
          <w:sz w:val="30"/>
          <w:szCs w:val="30"/>
        </w:rPr>
        <w:t>等国家核心战略，具体体现为：</w:t>
      </w:r>
    </w:p>
    <w:p w14:paraId="3127F7C5">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服务全民阅读与文化强国战略</w:t>
      </w:r>
      <w:r>
        <w:rPr>
          <w:rFonts w:hint="eastAsia" w:ascii="方正仿宋_GB2312" w:hAnsi="方正仿宋_GB2312" w:eastAsia="方正仿宋_GB2312" w:cs="方正仿宋_GB2312"/>
          <w:sz w:val="30"/>
          <w:szCs w:val="30"/>
        </w:rPr>
        <w:t>：项目以响应国家 “深入推进全民阅读，建设书香中国” 号召为核心，通过全方位的阅读推广与文化传播，提升全民文化素养，推动文化事业发展，助力文化强国战略实施，为国家文化软实力提升奠定基层群众基础；</w:t>
      </w:r>
    </w:p>
    <w:p w14:paraId="1151C316">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服务乡村振兴战略</w:t>
      </w:r>
      <w:r>
        <w:rPr>
          <w:rFonts w:hint="eastAsia" w:ascii="方正仿宋_GB2312" w:hAnsi="方正仿宋_GB2312" w:eastAsia="方正仿宋_GB2312" w:cs="方正仿宋_GB2312"/>
          <w:sz w:val="30"/>
          <w:szCs w:val="30"/>
        </w:rPr>
        <w:t>：乡村教育振兴是乡村振兴的核心内容，项目聚焦乡村阅读资源匮乏问题，通过图书捐赠、阅读推广、教育资源输送等举措，推动乡村教育发展，提升乡村青少年的综合素养，为乡村振兴培养后备人才，同时带动乡村文化建设，推动乡村精神文明与物质文明协调发展；</w:t>
      </w:r>
    </w:p>
    <w:p w14:paraId="2867A723">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服务教育公平与教育强国战略</w:t>
      </w:r>
      <w:r>
        <w:rPr>
          <w:rFonts w:hint="eastAsia" w:ascii="方正仿宋_GB2312" w:hAnsi="方正仿宋_GB2312" w:eastAsia="方正仿宋_GB2312" w:cs="方正仿宋_GB2312"/>
          <w:sz w:val="30"/>
          <w:szCs w:val="30"/>
        </w:rPr>
        <w:t>：项目通过优质阅读与教育资源向乡村、边疆民族地区的倾斜，弥补了城乡教育资源差距，推动了教育资源的均衡配置，保障了乡村青少年的受教育权利，助力教育公平战略实施，同时通过提升乡村青少年的阅读能力与综合素养，为教育强国战略的实施筑牢基层教育基础；</w:t>
      </w:r>
    </w:p>
    <w:p w14:paraId="24BD70A6">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服务民族团结进步战略</w:t>
      </w:r>
      <w:r>
        <w:rPr>
          <w:rFonts w:hint="eastAsia" w:ascii="方正仿宋_GB2312" w:hAnsi="方正仿宋_GB2312" w:eastAsia="方正仿宋_GB2312" w:cs="方正仿宋_GB2312"/>
          <w:sz w:val="30"/>
          <w:szCs w:val="30"/>
        </w:rPr>
        <w:t>：项目受益群体覆盖内蒙古、新疆、西藏、四川彝族自治州等多个少数民族聚居地区，通过捐赠民族文化类图书、开展全民阅读推广，促进了各民族文化的传承与交流，增强了各民族青少年的文化认同感与民族凝聚力，助力民族团结进步战略实施。</w:t>
      </w:r>
    </w:p>
    <w:p w14:paraId="25AFFDFA">
      <w:pPr>
        <w:spacing w:before="320" w:after="120" w:line="288" w:lineRule="auto"/>
        <w:ind w:left="0"/>
        <w:jc w:val="left"/>
        <w:outlineLvl w:val="1"/>
        <w:rPr>
          <w:rFonts w:hint="eastAsia" w:ascii="方正仿宋_GB2312" w:hAnsi="方正仿宋_GB2312" w:eastAsia="方正仿宋_GB2312" w:cs="方正仿宋_GB2312"/>
          <w:sz w:val="40"/>
          <w:szCs w:val="40"/>
        </w:rPr>
      </w:pPr>
      <w:bookmarkStart w:id="30" w:name="heading_30"/>
      <w:r>
        <w:rPr>
          <w:rFonts w:hint="eastAsia" w:ascii="方正仿宋_GB2312" w:hAnsi="方正仿宋_GB2312" w:eastAsia="方正仿宋_GB2312" w:cs="方正仿宋_GB2312"/>
          <w:b/>
          <w:sz w:val="40"/>
          <w:szCs w:val="40"/>
        </w:rPr>
        <w:t>九、项目存在的问题及应对措施</w:t>
      </w:r>
      <w:bookmarkEnd w:id="30"/>
    </w:p>
    <w:p w14:paraId="673D89AF">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31" w:name="heading_31"/>
      <w:r>
        <w:rPr>
          <w:rFonts w:hint="eastAsia" w:ascii="方正仿宋_GB2312" w:hAnsi="方正仿宋_GB2312" w:eastAsia="方正仿宋_GB2312" w:cs="方正仿宋_GB2312"/>
          <w:b/>
          <w:sz w:val="30"/>
          <w:szCs w:val="30"/>
        </w:rPr>
        <w:t>（一）现存核心问题</w:t>
      </w:r>
      <w:bookmarkEnd w:id="31"/>
    </w:p>
    <w:p w14:paraId="485ADFA3">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项目实施过程中，受地域条件、物流基础等客观因素影响，</w:t>
      </w:r>
      <w:r>
        <w:rPr>
          <w:rFonts w:hint="eastAsia" w:ascii="方正仿宋_GB2312" w:hAnsi="方正仿宋_GB2312" w:eastAsia="方正仿宋_GB2312" w:cs="方正仿宋_GB2312"/>
          <w:b/>
          <w:sz w:val="30"/>
          <w:szCs w:val="30"/>
        </w:rPr>
        <w:t>部分偏远山区图书配送困难</w:t>
      </w:r>
      <w:r>
        <w:rPr>
          <w:rFonts w:hint="eastAsia" w:ascii="方正仿宋_GB2312" w:hAnsi="方正仿宋_GB2312" w:eastAsia="方正仿宋_GB2312" w:cs="方正仿宋_GB2312"/>
          <w:sz w:val="30"/>
          <w:szCs w:val="30"/>
        </w:rPr>
        <w:t>成为核心问题。在西藏等偏远山区，交通条件恶劣，山路崎岖且常有地质灾害，导致图书配送车辆通行困难，配送时间大幅延长，图书损坏风险增加。例如西藏某偏远乡村，图书配送车辆遭遇泥石流导致道路中断，配送时间从预计一周延长至近三周，部分图书出现受潮、封面破损情况。</w:t>
      </w:r>
    </w:p>
    <w:p w14:paraId="52D4031A">
      <w:pPr>
        <w:spacing w:before="300" w:after="120" w:line="288" w:lineRule="auto"/>
        <w:ind w:left="0"/>
        <w:jc w:val="left"/>
        <w:outlineLvl w:val="2"/>
        <w:rPr>
          <w:rFonts w:hint="eastAsia" w:ascii="方正仿宋_GB2312" w:hAnsi="方正仿宋_GB2312" w:eastAsia="方正仿宋_GB2312" w:cs="方正仿宋_GB2312"/>
          <w:sz w:val="30"/>
          <w:szCs w:val="30"/>
        </w:rPr>
      </w:pPr>
      <w:bookmarkStart w:id="32" w:name="heading_32"/>
      <w:r>
        <w:rPr>
          <w:rFonts w:hint="eastAsia" w:ascii="方正仿宋_GB2312" w:hAnsi="方正仿宋_GB2312" w:eastAsia="方正仿宋_GB2312" w:cs="方正仿宋_GB2312"/>
          <w:b/>
          <w:sz w:val="30"/>
          <w:szCs w:val="30"/>
        </w:rPr>
        <w:t>（二）针对性应对措施</w:t>
      </w:r>
      <w:bookmarkEnd w:id="32"/>
    </w:p>
    <w:p w14:paraId="22A3EB6F">
      <w:pPr>
        <w:spacing w:before="120" w:after="120" w:line="288" w:lineRule="auto"/>
        <w:ind w:left="0"/>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针对图书配送困难问题，项目已建立多维度的应对措施，并在 2024 年下半年落地实施，取得了良好效果：</w:t>
      </w:r>
    </w:p>
    <w:p w14:paraId="56FD6B3C">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深化多方协作，搭建本土化配送网络</w:t>
      </w:r>
      <w:r>
        <w:rPr>
          <w:rFonts w:hint="eastAsia" w:ascii="方正仿宋_GB2312" w:hAnsi="方正仿宋_GB2312" w:eastAsia="方正仿宋_GB2312" w:cs="方正仿宋_GB2312"/>
          <w:sz w:val="30"/>
          <w:szCs w:val="30"/>
        </w:rPr>
        <w:t>：加强与当地政府、邮政部门、物流公司的深度协作，充分利用当地邮政乡村配送网络的本土化优势，将图书分批次转运至乡村站点，再由当地志愿者或学校工作人员上门领取，降低长距离直接配送的风险；</w:t>
      </w:r>
    </w:p>
    <w:p w14:paraId="1BE287D6">
      <w:pPr>
        <w:numPr>
          <w:ilvl w:val="0"/>
          <w:numId w:val="0"/>
        </w:numPr>
        <w:spacing w:before="120" w:after="120" w:line="288" w:lineRule="auto"/>
        <w:jc w:val="left"/>
        <w:rPr>
          <w:rFonts w:hint="eastAsia" w:ascii="方正仿宋_GB2312" w:hAnsi="方正仿宋_GB2312" w:eastAsia="方正仿宋_GB2312" w:cs="方正仿宋_GB2312"/>
          <w:sz w:val="30"/>
          <w:szCs w:val="30"/>
        </w:rPr>
      </w:pPr>
    </w:p>
    <w:p w14:paraId="0EB9BF4B">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优化运输方案，提升配送防护能力</w:t>
      </w:r>
      <w:r>
        <w:rPr>
          <w:rFonts w:hint="eastAsia" w:ascii="方正仿宋_GB2312" w:hAnsi="方正仿宋_GB2312" w:eastAsia="方正仿宋_GB2312" w:cs="方正仿宋_GB2312"/>
          <w:sz w:val="30"/>
          <w:szCs w:val="30"/>
        </w:rPr>
        <w:t>：与物流公司合作，对偏远山区的配送路线进行提前勘察与优化，选择安全系数更高的路线；为配送车辆配备防潮布、图书加固包装、防震缓冲材料等防护设备，最大限度降低图书受潮、破损的概率；</w:t>
      </w:r>
    </w:p>
    <w:p w14:paraId="275EFF8E">
      <w:pPr>
        <w:numPr>
          <w:ilvl w:val="0"/>
          <w:numId w:val="0"/>
        </w:numPr>
        <w:spacing w:before="120" w:after="120" w:line="288" w:lineRule="auto"/>
        <w:jc w:val="left"/>
        <w:rPr>
          <w:rFonts w:hint="eastAsia" w:ascii="方正仿宋_GB2312" w:hAnsi="方正仿宋_GB2312" w:eastAsia="方正仿宋_GB2312" w:cs="方正仿宋_GB2312"/>
          <w:sz w:val="30"/>
          <w:szCs w:val="30"/>
        </w:rPr>
      </w:pPr>
    </w:p>
    <w:p w14:paraId="0AE558E1">
      <w:pPr>
        <w:numPr>
          <w:ilvl w:val="0"/>
          <w:numId w:val="0"/>
        </w:numPr>
        <w:spacing w:before="120" w:after="120" w:line="288" w:lineRule="auto"/>
        <w:jc w:val="lef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建立跟踪机制，实现配送全程管控</w:t>
      </w:r>
      <w:r>
        <w:rPr>
          <w:rFonts w:hint="eastAsia" w:ascii="方正仿宋_GB2312" w:hAnsi="方正仿宋_GB2312" w:eastAsia="方正仿宋_GB2312" w:cs="方正仿宋_GB2312"/>
          <w:sz w:val="30"/>
          <w:szCs w:val="30"/>
        </w:rPr>
        <w:t>：搭建图书配送线上跟踪系统，实时掌握图书运输的位置、状态，针对路况异常、灾害预警等情况及时调整配送方案，对出现的问题进行快速处置，确保图书配送效率与质量。</w:t>
      </w:r>
    </w:p>
    <w:p w14:paraId="7371BA87">
      <w:pPr>
        <w:widowControl w:val="0"/>
        <w:numPr>
          <w:ilvl w:val="0"/>
          <w:numId w:val="0"/>
        </w:numPr>
        <w:spacing w:before="120" w:after="120" w:line="288" w:lineRule="auto"/>
        <w:jc w:val="left"/>
        <w:rPr>
          <w:rFonts w:hint="eastAsia" w:ascii="方正仿宋_GB2312" w:hAnsi="方正仿宋_GB2312" w:eastAsia="方正仿宋_GB2312" w:cs="方正仿宋_GB2312"/>
          <w:sz w:val="30"/>
          <w:szCs w:val="30"/>
        </w:rPr>
      </w:pPr>
    </w:p>
    <w:p w14:paraId="774B123B">
      <w:pPr>
        <w:widowControl w:val="0"/>
        <w:numPr>
          <w:ilvl w:val="0"/>
          <w:numId w:val="0"/>
        </w:numPr>
        <w:spacing w:before="120" w:after="120" w:line="288" w:lineRule="auto"/>
        <w:jc w:val="left"/>
        <w:rPr>
          <w:rFonts w:hint="eastAsia" w:ascii="方正仿宋_GB2312" w:hAnsi="方正仿宋_GB2312" w:eastAsia="方正仿宋_GB2312" w:cs="方正仿宋_GB2312"/>
          <w:sz w:val="30"/>
          <w:szCs w:val="30"/>
        </w:rPr>
      </w:pPr>
    </w:p>
    <w:p w14:paraId="53EA82E4">
      <w:pPr>
        <w:spacing w:before="120" w:after="120" w:line="288" w:lineRule="auto"/>
        <w:ind w:left="0"/>
        <w:jc w:val="right"/>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sz w:val="30"/>
          <w:szCs w:val="30"/>
        </w:rPr>
        <w:t>中国少年儿童文化艺术基金会</w:t>
      </w:r>
      <w:r>
        <w:rPr>
          <w:rFonts w:hint="eastAsia" w:ascii="方正仿宋_GB2312" w:hAnsi="方正仿宋_GB2312" w:eastAsia="方正仿宋_GB2312" w:cs="方正仿宋_GB2312"/>
          <w:b/>
          <w:sz w:val="30"/>
          <w:szCs w:val="30"/>
          <w:lang w:val="en-US" w:eastAsia="zh-CN"/>
        </w:rPr>
        <w:t>项目部</w:t>
      </w:r>
      <w:r>
        <w:rPr>
          <w:rFonts w:hint="eastAsia"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b/>
          <w:sz w:val="30"/>
          <w:szCs w:val="30"/>
        </w:rPr>
        <w:t>2025 年 1 月</w:t>
      </w:r>
    </w:p>
    <w:p w14:paraId="1E792AB6">
      <w:pPr>
        <w:spacing w:before="120" w:after="120" w:line="288" w:lineRule="auto"/>
        <w:ind w:left="0"/>
        <w:jc w:val="left"/>
        <w:rPr>
          <w:rFonts w:hint="eastAsia" w:ascii="方正仿宋_GB2312" w:hAnsi="方正仿宋_GB2312" w:eastAsia="方正仿宋_GB2312" w:cs="方正仿宋_GB2312"/>
          <w:sz w:val="30"/>
          <w:szCs w:val="30"/>
        </w:rPr>
      </w:pPr>
    </w:p>
    <w:sectPr>
      <w:pgSz w:w="11905" w:h="16840"/>
      <w:pgMar w:top="1440" w:right="1689" w:bottom="1440" w:left="1689"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1BBBB54-D0D9-4218-87A8-54ADBC03B6DE}"/>
  </w:font>
  <w:font w:name="黑体">
    <w:panose1 w:val="02010609060101010101"/>
    <w:charset w:val="86"/>
    <w:family w:val="auto"/>
    <w:pitch w:val="default"/>
    <w:sig w:usb0="800002BF" w:usb1="38CF7CFA" w:usb2="00000016" w:usb3="00000000" w:csb0="00040001" w:csb1="00000000"/>
    <w:embedRegular r:id="rId2" w:fontKey="{93AC8F36-905B-4DBB-8E7C-6EB94196A6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34B0A7-3A92-4370-B2F7-007F38D25F04}"/>
  </w:font>
  <w:font w:name="汉仪细秀体简 L">
    <w:altName w:val="宋体"/>
    <w:panose1 w:val="00020600040101010101"/>
    <w:charset w:val="86"/>
    <w:family w:val="auto"/>
    <w:pitch w:val="default"/>
    <w:sig w:usb0="00000000" w:usb1="00000000" w:usb2="00000016" w:usb3="00000000" w:csb0="00040000" w:csb1="00000000"/>
    <w:embedRegular r:id="rId4" w:fontKey="{CF06D87B-887E-463B-AE67-DF06A4F97022}"/>
  </w:font>
  <w:font w:name="等线">
    <w:panose1 w:val="02010600030101010101"/>
    <w:charset w:val="86"/>
    <w:family w:val="auto"/>
    <w:pitch w:val="default"/>
    <w:sig w:usb0="A00002BF" w:usb1="38CF7CFA" w:usb2="00000016" w:usb3="00000000" w:csb0="0004000F" w:csb1="00000000"/>
    <w:embedRegular r:id="rId5" w:fontKey="{B9DC8A76-C003-4355-AA55-6E35B7A17489}"/>
  </w:font>
  <w:font w:name="方正仿宋_GB2312">
    <w:panose1 w:val="02000000000000000000"/>
    <w:charset w:val="86"/>
    <w:family w:val="auto"/>
    <w:pitch w:val="default"/>
    <w:sig w:usb0="A00002BF" w:usb1="184F6CFA" w:usb2="00000012" w:usb3="00000000" w:csb0="00040001" w:csb1="00000000"/>
    <w:embedRegular r:id="rId6" w:fontKey="{A7DBAC48-0411-437E-AEF7-2522246654CA}"/>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17DF5">
    <w:pPr>
      <w:jc w:val="center"/>
      <w:rPr>
        <w:rFonts w:hint="eastAsia" w:eastAsia="宋体"/>
        <w:lang w:eastAsia="zh-CN"/>
      </w:rPr>
    </w:pPr>
    <w:r>
      <w:rPr>
        <w:rFonts w:hint="eastAsia" w:eastAsia="宋体"/>
        <w:lang w:eastAsia="zh-CN"/>
      </w:rPr>
      <w:drawing>
        <wp:inline distT="0" distB="0" distL="114300" distR="114300">
          <wp:extent cx="2832735" cy="720090"/>
          <wp:effectExtent l="0" t="0" r="5715" b="3810"/>
          <wp:docPr id="2" name="图片 2" descr="df3ce8d0ff5c25b71c12d3b56b34a3ce_38f0ac5b6801d174e6b5a3af60d8d628_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f3ce8d0ff5c25b71c12d3b56b34a3ce_38f0ac5b6801d174e6b5a3af60d8d628_8_00"/>
                  <pic:cNvPicPr>
                    <a:picLocks noChangeAspect="1"/>
                  </pic:cNvPicPr>
                </pic:nvPicPr>
                <pic:blipFill>
                  <a:blip r:embed="rId1"/>
                  <a:stretch>
                    <a:fillRect/>
                  </a:stretch>
                </pic:blipFill>
                <pic:spPr>
                  <a:xfrm>
                    <a:off x="0" y="0"/>
                    <a:ext cx="2832735" cy="7200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documentProtection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590204"/>
    <w:rsid w:val="3BDB4DC2"/>
    <w:rsid w:val="5E9719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5">
    <w:name w:val="Default Paragraph Font"/>
    <w:semiHidden/>
    <w:qFormat/>
    <w:uiPriority w:val="0"/>
    <w:rPr>
      <w:rFonts w:asciiTheme="minorHAnsi" w:hAnsiTheme="minorHAnsi" w:eastAsiaTheme="minorEastAsia" w:cstheme="minorBidi"/>
    </w:rPr>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heme="minorHAnsi" w:hAnsiTheme="minorHAnsi" w:eastAsiaTheme="minorEastAsia" w:cstheme="minorBidi"/>
      <w:kern w:val="2"/>
      <w:sz w:val="18"/>
      <w:szCs w:val="24"/>
      <w:lang w:val="en-US" w:eastAsia="zh-CN"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heme="minorHAnsi" w:hAnsiTheme="minorHAnsi" w:eastAsiaTheme="minorEastAsia" w:cstheme="minorBidi"/>
      <w:kern w:val="2"/>
      <w:sz w:val="18"/>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淡雅群山封面.docx"/>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7636</Words>
  <Characters>7732</Characters>
  <TotalTime>172</TotalTime>
  <ScaleCrop>false</ScaleCrop>
  <LinksUpToDate>false</LinksUpToDate>
  <CharactersWithSpaces>7845</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2026-03-26T02:21:00Z</dcterms:created>
  <dc:creator>Apache POI</dc:creator>
  <cp:lastModifiedBy>yir</cp:lastModifiedBy>
  <cp:lastPrinted>2026-03-26T05:48:00Z</cp:lastPrinted>
  <dcterms:modified xsi:type="dcterms:W3CDTF">2026-05-06T03:23:05Z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eyJoZGlkIjoiOWZjNmQ0MTZiMzAwZjg5YTkxMzE0YTFlZjQ3ZTZjMTgiLCJ1c2VySWQiOiIyMTIzMjc2NjIifQ==</vt:lpwstr>
  </property>
  <property fmtid="{D5CDD505-2E9C-101B-9397-08002B2CF9AE}" pid="3" name="KSOProductBuildVer">
    <vt:lpwstr>2052-12.1.0.25865</vt:lpwstr>
  </property>
  <property fmtid="{D5CDD505-2E9C-101B-9397-08002B2CF9AE}" pid="4" name="ICV">
    <vt:lpwstr>33C212D99A5D4809932939EEF264C5A8_13</vt:lpwstr>
  </property>
</Properties>
</file>