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0D3852">
      <w:pPr>
        <w:spacing w:before="140" w:line="222" w:lineRule="auto"/>
        <w:ind w:left="2870"/>
        <w:outlineLvl w:val="0"/>
        <w:rPr>
          <w:rFonts w:ascii="宋体" w:hAnsi="宋体" w:eastAsia="宋体" w:cs="宋体"/>
          <w:sz w:val="28"/>
          <w:szCs w:val="28"/>
        </w:rPr>
      </w:pPr>
      <w:r>
        <w:rPr>
          <w:sz w:val="28"/>
          <w:szCs w:val="28"/>
        </w:rPr>
        <mc:AlternateContent>
          <mc:Choice Requires="wps">
            <w:drawing>
              <wp:anchor distT="0" distB="0" distL="114300" distR="114300" simplePos="0" relativeHeight="251676672" behindDoc="0" locked="0" layoutInCell="1" allowOverlap="1">
                <wp:simplePos x="0" y="0"/>
                <wp:positionH relativeFrom="column">
                  <wp:posOffset>-538480</wp:posOffset>
                </wp:positionH>
                <wp:positionV relativeFrom="paragraph">
                  <wp:posOffset>6459855</wp:posOffset>
                </wp:positionV>
                <wp:extent cx="6398895" cy="97980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6398895" cy="979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1A0D2E">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阅读阅中国2025年度</w:t>
                            </w:r>
                          </w:p>
                          <w:p w14:paraId="3C4A3022">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项目总结报告</w:t>
                            </w: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shape id="_x0000_s1026" o:spid="_x0000_s1026" o:spt="202" type="#_x0000_t202" style="position:absolute;left:0pt;margin-left:-42.4pt;margin-top:508.65pt;height:77.15pt;width:503.85pt;z-index:251676672;v-text-anchor:middle;mso-width-relative:page;mso-height-relative:page;" filled="f" stroked="f" coordsize="21600,21600" o:gfxdata="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8NV2DNsAAAANAQAADwAAAAAAAAABACAAAAAiAAAA&#10;ZHJzL2Rvd25yZXYueG1sUEsBAhQAFAAAAAgAh07iQJqJ+Ro9AgAAagQAAA4AAAAAAAAAAQAgAAAA&#10;KgEAAGRycy9lMm9Eb2MueG1sUEsFBgAAAAAGAAYAWQEAANkFAAAAAA==&#10;">
                <v:fill on="f" focussize="0,0"/>
                <v:stroke on="f" weight="0.5pt"/>
                <v:imagedata o:title=""/>
                <o:lock v:ext="edit" aspectratio="f"/>
                <v:textbox style="mso-fit-shape-to-text:t;">
                  <w:txbxContent>
                    <w:p w14:paraId="621A0D2E">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阅读阅中国2025年度</w:t>
                      </w:r>
                    </w:p>
                    <w:p w14:paraId="3C4A3022">
                      <w:pPr>
                        <w:spacing w:before="480" w:after="480" w:line="240" w:lineRule="auto"/>
                        <w:ind w:left="0"/>
                        <w:jc w:val="cente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pPr>
                      <w:r>
                        <w:rPr>
                          <w:rFonts w:hint="eastAsia" w:ascii="汉仪细秀体简 L" w:hAnsi="汉仪细秀体简 L" w:eastAsia="汉仪细秀体简 L" w:cs="汉仪细秀体简 L"/>
                          <w:b/>
                          <w:bCs/>
                          <w:color w:val="262626" w:themeColor="text1" w:themeTint="D9"/>
                          <w:sz w:val="76"/>
                          <w:szCs w:val="76"/>
                          <w:lang w:val="en-US" w:eastAsia="zh-CN"/>
                          <w14:textFill>
                            <w14:solidFill>
                              <w14:schemeClr w14:val="tx1">
                                <w14:lumMod w14:val="85000"/>
                                <w14:lumOff w14:val="15000"/>
                              </w14:schemeClr>
                            </w14:solidFill>
                          </w14:textFill>
                        </w:rPr>
                        <w:t>项目总结报告</w:t>
                      </w:r>
                    </w:p>
                  </w:txbxContent>
                </v:textbox>
              </v:shape>
            </w:pict>
          </mc:Fallback>
        </mc:AlternateContent>
      </w:r>
      <w:r>
        <w:rPr>
          <w:sz w:val="28"/>
          <w:szCs w:val="28"/>
        </w:rPr>
        <mc:AlternateContent>
          <mc:Choice Requires="wps">
            <w:drawing>
              <wp:anchor distT="0" distB="0" distL="114300" distR="114300" simplePos="0" relativeHeight="251677696" behindDoc="0" locked="0" layoutInCell="1" allowOverlap="1">
                <wp:simplePos x="0" y="0"/>
                <wp:positionH relativeFrom="column">
                  <wp:posOffset>-579755</wp:posOffset>
                </wp:positionH>
                <wp:positionV relativeFrom="paragraph">
                  <wp:posOffset>8635365</wp:posOffset>
                </wp:positionV>
                <wp:extent cx="6402705" cy="97980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402705" cy="9798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6A1821">
                            <w:pPr>
                              <w:keepNext w:val="0"/>
                              <w:keepLines w:val="0"/>
                              <w:pageBreakBefore w:val="0"/>
                              <w:widowControl w:val="0"/>
                              <w:kinsoku/>
                              <w:wordWrap/>
                              <w:overflowPunct/>
                              <w:topLinePunct w:val="0"/>
                              <w:bidi w:val="0"/>
                              <w:adjustRightInd w:val="0"/>
                              <w:snapToGrid w:val="0"/>
                              <w:spacing w:line="500" w:lineRule="exact"/>
                              <w:jc w:val="center"/>
                              <w:textAlignment w:val="auto"/>
                              <w:rPr>
                                <w:rFonts w:hint="eastAsia" w:ascii="黑体" w:hAnsi="黑体" w:eastAsia="黑体" w:cs="黑体"/>
                                <w:b w:val="0"/>
                                <w:bCs w:val="0"/>
                                <w:color w:val="262626" w:themeColor="text1" w:themeTint="D9"/>
                                <w:spacing w:val="51"/>
                                <w:sz w:val="40"/>
                                <w:szCs w:val="40"/>
                                <w:lang w:val="en-US" w:eastAsia="zh-CN"/>
                                <w14:textFill>
                                  <w14:solidFill>
                                    <w14:schemeClr w14:val="tx1">
                                      <w14:lumMod w14:val="85000"/>
                                      <w14:lumOff w14:val="15000"/>
                                    </w14:schemeClr>
                                  </w14:solidFill>
                                </w14:textFill>
                              </w:rPr>
                            </w:pPr>
                            <w:r>
                              <w:rPr>
                                <w:rFonts w:hint="eastAsia" w:ascii="黑体" w:hAnsi="黑体" w:eastAsia="黑体" w:cs="黑体"/>
                                <w:b w:val="0"/>
                                <w:bCs w:val="0"/>
                                <w:color w:val="262626" w:themeColor="text1" w:themeTint="D9"/>
                                <w:spacing w:val="51"/>
                                <w:kern w:val="0"/>
                                <w:sz w:val="40"/>
                                <w:szCs w:val="40"/>
                                <w:lang w:val="en-US" w:eastAsia="zh-CN"/>
                                <w14:textFill>
                                  <w14:solidFill>
                                    <w14:schemeClr w14:val="tx1">
                                      <w14:lumMod w14:val="85000"/>
                                      <w14:lumOff w14:val="15000"/>
                                    </w14:schemeClr>
                                  </w14:solidFill>
                                </w14:textFill>
                              </w:rPr>
                              <w:t>基金会项目部</w:t>
                            </w:r>
                          </w:p>
                        </w:txbxContent>
                      </wps:txbx>
                      <wps:bodyPr rot="0" spcFirstLastPara="0" vertOverflow="overflow" horzOverflow="overflow" vert="horz" wrap="square" lIns="91440" tIns="45720" rIns="91440" bIns="45720" numCol="1" spcCol="0" rtlCol="0" fromWordArt="0" anchor="ctr" anchorCtr="0" forceAA="0" compatLnSpc="1">
                        <a:spAutoFit/>
                      </wps:bodyPr>
                    </wps:wsp>
                  </a:graphicData>
                </a:graphic>
              </wp:anchor>
            </w:drawing>
          </mc:Choice>
          <mc:Fallback>
            <w:pict>
              <v:shape id="_x0000_s1026" o:spid="_x0000_s1026" o:spt="202" type="#_x0000_t202" style="position:absolute;left:0pt;margin-left:-45.65pt;margin-top:679.95pt;height:77.15pt;width:504.15pt;z-index:251677696;v-text-anchor:middle;mso-width-relative:page;mso-height-relative:page;" filled="f" stroked="f" coordsize="21600,21600" o:gfxdata="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ya+33aAAAADQEAAA8AAAAAAAAAAQAgAAAAIgAAAGRy&#10;cy9kb3ducmV2LnhtbFBLAQIUABQAAAAIAIdO4kDaprplPAIAAGoEAAAOAAAAAAAAAAEAIAAAACkB&#10;AABkcnMvZTJvRG9jLnhtbFBLBQYAAAAABgAGAFkBAADXBQAAAAA=&#10;">
                <v:fill on="f" focussize="0,0"/>
                <v:stroke on="f" weight="0.5pt"/>
                <v:imagedata o:title=""/>
                <o:lock v:ext="edit" aspectratio="f"/>
                <v:textbox style="mso-fit-shape-to-text:t;">
                  <w:txbxContent>
                    <w:p w14:paraId="1C6A1821">
                      <w:pPr>
                        <w:keepNext w:val="0"/>
                        <w:keepLines w:val="0"/>
                        <w:pageBreakBefore w:val="0"/>
                        <w:widowControl w:val="0"/>
                        <w:kinsoku/>
                        <w:wordWrap/>
                        <w:overflowPunct/>
                        <w:topLinePunct w:val="0"/>
                        <w:bidi w:val="0"/>
                        <w:adjustRightInd w:val="0"/>
                        <w:snapToGrid w:val="0"/>
                        <w:spacing w:line="500" w:lineRule="exact"/>
                        <w:jc w:val="center"/>
                        <w:textAlignment w:val="auto"/>
                        <w:rPr>
                          <w:rFonts w:hint="eastAsia" w:ascii="黑体" w:hAnsi="黑体" w:eastAsia="黑体" w:cs="黑体"/>
                          <w:b w:val="0"/>
                          <w:bCs w:val="0"/>
                          <w:color w:val="262626" w:themeColor="text1" w:themeTint="D9"/>
                          <w:spacing w:val="51"/>
                          <w:sz w:val="40"/>
                          <w:szCs w:val="40"/>
                          <w:lang w:val="en-US" w:eastAsia="zh-CN"/>
                          <w14:textFill>
                            <w14:solidFill>
                              <w14:schemeClr w14:val="tx1">
                                <w14:lumMod w14:val="85000"/>
                                <w14:lumOff w14:val="15000"/>
                              </w14:schemeClr>
                            </w14:solidFill>
                          </w14:textFill>
                        </w:rPr>
                      </w:pPr>
                      <w:r>
                        <w:rPr>
                          <w:rFonts w:hint="eastAsia" w:ascii="黑体" w:hAnsi="黑体" w:eastAsia="黑体" w:cs="黑体"/>
                          <w:b w:val="0"/>
                          <w:bCs w:val="0"/>
                          <w:color w:val="262626" w:themeColor="text1" w:themeTint="D9"/>
                          <w:spacing w:val="51"/>
                          <w:kern w:val="0"/>
                          <w:sz w:val="40"/>
                          <w:szCs w:val="40"/>
                          <w:lang w:val="en-US" w:eastAsia="zh-CN"/>
                          <w14:textFill>
                            <w14:solidFill>
                              <w14:schemeClr w14:val="tx1">
                                <w14:lumMod w14:val="85000"/>
                                <w14:lumOff w14:val="15000"/>
                              </w14:schemeClr>
                            </w14:solidFill>
                          </w14:textFill>
                        </w:rPr>
                        <w:t>基金会项目部</w:t>
                      </w:r>
                    </w:p>
                  </w:txbxContent>
                </v:textbox>
              </v:shape>
            </w:pict>
          </mc:Fallback>
        </mc:AlternateContent>
      </w:r>
      <w:r>
        <w:rPr>
          <w:rFonts w:hint="eastAsia" w:eastAsiaTheme="minorEastAsia"/>
          <w:sz w:val="28"/>
          <w:szCs w:val="28"/>
          <w:lang w:eastAsia="zh-CN"/>
        </w:rPr>
        <w:drawing>
          <wp:anchor distT="0" distB="0" distL="114300" distR="114300" simplePos="0" relativeHeight="251675648" behindDoc="1" locked="0" layoutInCell="1" allowOverlap="1">
            <wp:simplePos x="0" y="0"/>
            <wp:positionH relativeFrom="column">
              <wp:posOffset>-1133475</wp:posOffset>
            </wp:positionH>
            <wp:positionV relativeFrom="page">
              <wp:posOffset>0</wp:posOffset>
            </wp:positionV>
            <wp:extent cx="7560310" cy="10692130"/>
            <wp:effectExtent l="0" t="0" r="2540" b="13970"/>
            <wp:wrapNone/>
            <wp:docPr id="12" name="图片 12" descr="C:/Users/king/Desktop/背景/背景@3x (10).png背景@3x (10)"/>
            <wp:cNvGraphicFramePr/>
            <a:graphic xmlns:a="http://schemas.openxmlformats.org/drawingml/2006/main">
              <a:graphicData uri="http://schemas.openxmlformats.org/drawingml/2006/picture">
                <pic:pic xmlns:pic="http://schemas.openxmlformats.org/drawingml/2006/picture">
                  <pic:nvPicPr>
                    <pic:cNvPr id="12" name="图片 12" descr="C:/Users/king/Desktop/背景/背景@3x (10).png背景@3x (10)"/>
                    <pic:cNvPicPr/>
                  </pic:nvPicPr>
                  <pic:blipFill>
                    <a:blip r:embed="rId6"/>
                    <a:srcRect t="34" b="34"/>
                    <a:stretch>
                      <a:fillRect/>
                    </a:stretch>
                  </pic:blipFill>
                  <pic:spPr>
                    <a:xfrm>
                      <a:off x="0" y="0"/>
                      <a:ext cx="7560310" cy="10692130"/>
                    </a:xfrm>
                    <a:prstGeom prst="rect">
                      <a:avLst/>
                    </a:prstGeom>
                  </pic:spPr>
                </pic:pic>
              </a:graphicData>
            </a:graphic>
          </wp:anchor>
        </w:drawing>
      </w:r>
    </w:p>
    <w:p w14:paraId="5065AE04">
      <w:pPr>
        <w:spacing w:line="242" w:lineRule="auto"/>
        <w:rPr>
          <w:rFonts w:ascii="Arial"/>
          <w:sz w:val="28"/>
          <w:szCs w:val="28"/>
        </w:rPr>
      </w:pPr>
    </w:p>
    <w:p w14:paraId="66C7F599">
      <w:pPr>
        <w:spacing w:line="242" w:lineRule="auto"/>
        <w:rPr>
          <w:rFonts w:ascii="Arial"/>
          <w:sz w:val="28"/>
          <w:szCs w:val="28"/>
        </w:rPr>
      </w:pPr>
    </w:p>
    <w:p w14:paraId="12914035">
      <w:pPr>
        <w:spacing w:line="242" w:lineRule="auto"/>
        <w:rPr>
          <w:rFonts w:ascii="Arial"/>
          <w:sz w:val="28"/>
          <w:szCs w:val="28"/>
        </w:rPr>
      </w:pPr>
    </w:p>
    <w:p w14:paraId="3D349FBC">
      <w:pPr>
        <w:spacing w:line="243" w:lineRule="auto"/>
        <w:rPr>
          <w:rFonts w:ascii="Arial"/>
          <w:sz w:val="28"/>
          <w:szCs w:val="28"/>
        </w:rPr>
      </w:pPr>
    </w:p>
    <w:p w14:paraId="1A72166B">
      <w:pPr>
        <w:spacing w:line="243" w:lineRule="auto"/>
        <w:rPr>
          <w:rFonts w:ascii="Arial"/>
          <w:sz w:val="28"/>
          <w:szCs w:val="28"/>
        </w:rPr>
      </w:pPr>
    </w:p>
    <w:p w14:paraId="76E489FC">
      <w:pPr>
        <w:spacing w:line="243" w:lineRule="auto"/>
        <w:rPr>
          <w:rFonts w:ascii="Arial"/>
          <w:sz w:val="28"/>
          <w:szCs w:val="28"/>
        </w:rPr>
      </w:pPr>
    </w:p>
    <w:p w14:paraId="7C58930A">
      <w:pPr>
        <w:spacing w:line="243" w:lineRule="auto"/>
        <w:rPr>
          <w:rFonts w:ascii="Arial"/>
          <w:sz w:val="28"/>
          <w:szCs w:val="28"/>
        </w:rPr>
      </w:pPr>
    </w:p>
    <w:p w14:paraId="3249AC98">
      <w:pPr>
        <w:spacing w:line="243" w:lineRule="auto"/>
        <w:rPr>
          <w:rFonts w:ascii="Arial"/>
          <w:sz w:val="28"/>
          <w:szCs w:val="28"/>
        </w:rPr>
      </w:pPr>
    </w:p>
    <w:p w14:paraId="238D1FD6">
      <w:pPr>
        <w:spacing w:line="243" w:lineRule="auto"/>
        <w:rPr>
          <w:rFonts w:ascii="Arial"/>
          <w:sz w:val="28"/>
          <w:szCs w:val="28"/>
        </w:rPr>
      </w:pPr>
    </w:p>
    <w:p w14:paraId="70B1B484">
      <w:pPr>
        <w:spacing w:line="243" w:lineRule="auto"/>
        <w:rPr>
          <w:rFonts w:ascii="Arial"/>
          <w:sz w:val="28"/>
          <w:szCs w:val="28"/>
        </w:rPr>
      </w:pPr>
    </w:p>
    <w:p w14:paraId="596E0AE5">
      <w:pPr>
        <w:spacing w:line="206" w:lineRule="auto"/>
        <w:rPr>
          <w:sz w:val="28"/>
          <w:szCs w:val="28"/>
        </w:rPr>
        <w:sectPr>
          <w:headerReference r:id="rId3" w:type="default"/>
          <w:pgSz w:w="11906" w:h="16839"/>
          <w:pgMar w:top="1431" w:right="1785" w:bottom="0" w:left="1785" w:header="0" w:footer="0" w:gutter="0"/>
          <w:cols w:space="720" w:num="1"/>
        </w:sectPr>
      </w:pPr>
    </w:p>
    <w:p w14:paraId="1AA9E9EE">
      <w:pPr>
        <w:bidi w:val="0"/>
        <w:spacing w:line="560" w:lineRule="exact"/>
        <w:rPr>
          <w:rFonts w:hint="default" w:ascii="仿宋_GB2312" w:hAnsi="仿宋_GB2312" w:eastAsia="仿宋_GB2312" w:cstheme="minorBidi"/>
          <w:b/>
          <w:bCs/>
          <w:sz w:val="28"/>
          <w:szCs w:val="28"/>
          <w:lang w:val="en-US" w:eastAsia="zh-CN"/>
        </w:rPr>
      </w:pPr>
    </w:p>
    <w:p w14:paraId="6EB0B0D1">
      <w:pPr>
        <w:spacing w:line="580" w:lineRule="exact"/>
        <w:jc w:val="center"/>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b w:val="0"/>
          <w:bCs w:val="0"/>
          <w:sz w:val="40"/>
          <w:szCs w:val="40"/>
          <w:lang w:eastAsia="zh-CN"/>
        </w:rPr>
        <w:t>“</w:t>
      </w:r>
      <w:r>
        <w:rPr>
          <w:rFonts w:hint="eastAsia" w:ascii="方正小标宋简体" w:hAnsi="方正小标宋简体" w:eastAsia="方正小标宋简体" w:cs="方正小标宋简体"/>
          <w:b w:val="0"/>
          <w:bCs w:val="0"/>
          <w:sz w:val="40"/>
          <w:szCs w:val="40"/>
          <w:lang w:val="en-US" w:eastAsia="zh-CN"/>
        </w:rPr>
        <w:t>阅读阅中国”项目2025年度执行</w:t>
      </w:r>
    </w:p>
    <w:p w14:paraId="3B13A342">
      <w:pPr>
        <w:spacing w:line="580" w:lineRule="exact"/>
        <w:jc w:val="center"/>
        <w:rPr>
          <w:rFonts w:hint="eastAsia" w:ascii="方正小标宋简体" w:hAnsi="方正小标宋简体" w:eastAsia="方正小标宋简体" w:cs="方正小标宋简体"/>
          <w:b w:val="0"/>
          <w:bCs w:val="0"/>
          <w:sz w:val="40"/>
          <w:szCs w:val="40"/>
        </w:rPr>
      </w:pPr>
      <w:r>
        <w:rPr>
          <w:rFonts w:hint="eastAsia" w:ascii="方正小标宋简体" w:hAnsi="方正小标宋简体" w:eastAsia="方正小标宋简体" w:cs="方正小标宋简体"/>
          <w:b w:val="0"/>
          <w:bCs w:val="0"/>
          <w:sz w:val="40"/>
          <w:szCs w:val="40"/>
          <w:lang w:val="en-US" w:eastAsia="zh-CN"/>
        </w:rPr>
        <w:t>情况</w:t>
      </w:r>
      <w:r>
        <w:rPr>
          <w:rFonts w:hint="eastAsia" w:ascii="方正小标宋简体" w:hAnsi="方正小标宋简体" w:eastAsia="方正小标宋简体" w:cs="方正小标宋简体"/>
          <w:b w:val="0"/>
          <w:bCs w:val="0"/>
          <w:sz w:val="40"/>
          <w:szCs w:val="40"/>
        </w:rPr>
        <w:t>报告</w:t>
      </w:r>
    </w:p>
    <w:p w14:paraId="5CDDA40B">
      <w:pPr>
        <w:spacing w:line="580" w:lineRule="exact"/>
        <w:jc w:val="center"/>
        <w:rPr>
          <w:rFonts w:hint="eastAsia" w:ascii="华文仿宋" w:hAnsi="华文仿宋" w:eastAsia="华文仿宋" w:cs="华文仿宋"/>
          <w:sz w:val="28"/>
          <w:szCs w:val="28"/>
        </w:rPr>
      </w:pPr>
    </w:p>
    <w:p w14:paraId="16A81522">
      <w:pPr>
        <w:spacing w:line="580" w:lineRule="exact"/>
        <w:ind w:firstLine="560" w:firstLineChars="200"/>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2025年</w:t>
      </w:r>
      <w:r>
        <w:rPr>
          <w:rFonts w:hint="eastAsia" w:ascii="华文仿宋" w:hAnsi="华文仿宋" w:eastAsia="华文仿宋" w:cs="华文仿宋"/>
          <w:kern w:val="0"/>
          <w:sz w:val="28"/>
          <w:szCs w:val="28"/>
        </w:rPr>
        <w:t>一年，“阅读阅中国”项目紧密围绕“满足乡村孩子阅读期待”的宗旨，以中小学生为核心受益群体，通过持续创新媒体融合与公益助学模式，取得了扎实进展与显著突破。我们不仅广泛联动文化名家与各界模范深入乡村担任“领读者”，</w:t>
      </w:r>
      <w:r>
        <w:rPr>
          <w:rFonts w:hint="eastAsia" w:ascii="华文仿宋" w:hAnsi="华文仿宋" w:eastAsia="华文仿宋" w:cs="华文仿宋"/>
          <w:kern w:val="0"/>
          <w:sz w:val="28"/>
          <w:szCs w:val="28"/>
          <w:lang w:val="en-US" w:eastAsia="zh-CN"/>
        </w:rPr>
        <w:t>助推全民阅读理念。</w:t>
      </w:r>
      <w:r>
        <w:rPr>
          <w:rFonts w:hint="eastAsia" w:ascii="华文仿宋" w:hAnsi="华文仿宋" w:eastAsia="华文仿宋" w:cs="华文仿宋"/>
          <w:kern w:val="0"/>
          <w:sz w:val="28"/>
          <w:szCs w:val="28"/>
        </w:rPr>
        <w:t>更在阅读资源输送、长效阅读机制建设等方面实现多维度拓展，有效激发了乡村青少年的阅读兴趣，助力其养成良好阅读习惯，推动了全民阅读氛围的深化与社会关怀力量的凝聚。</w:t>
      </w:r>
      <w:r>
        <w:rPr>
          <w:rFonts w:hint="eastAsia" w:ascii="华文仿宋" w:hAnsi="华文仿宋" w:eastAsia="华文仿宋" w:cs="华文仿宋"/>
          <w:kern w:val="0"/>
          <w:sz w:val="28"/>
          <w:szCs w:val="28"/>
          <w:lang w:val="en-US" w:eastAsia="zh-CN"/>
        </w:rPr>
        <w:t>现将有关情况报告如下：</w:t>
      </w:r>
    </w:p>
    <w:p w14:paraId="4E40B835">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80" w:lineRule="exact"/>
        <w:textAlignment w:val="auto"/>
        <w:rPr>
          <w:rFonts w:hint="eastAsia" w:ascii="黑体" w:hAnsi="黑体" w:eastAsia="黑体" w:cs="黑体"/>
          <w:kern w:val="0"/>
          <w:sz w:val="28"/>
          <w:szCs w:val="28"/>
          <w:lang w:val="en-US" w:eastAsia="zh-CN"/>
        </w:rPr>
      </w:pPr>
      <w:r>
        <w:rPr>
          <w:rFonts w:hint="eastAsia" w:ascii="黑体" w:hAnsi="黑体" w:eastAsia="黑体" w:cs="黑体"/>
          <w:kern w:val="0"/>
          <w:sz w:val="28"/>
          <w:szCs w:val="28"/>
          <w:lang w:val="en-US" w:eastAsia="zh-CN"/>
        </w:rPr>
        <w:t>年度工作总体情况</w:t>
      </w:r>
    </w:p>
    <w:p w14:paraId="38455ED3">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rPr>
        <w:t>“阅读阅中国”项目在202</w:t>
      </w:r>
      <w:r>
        <w:rPr>
          <w:rFonts w:hint="eastAsia" w:ascii="华文仿宋" w:hAnsi="华文仿宋" w:eastAsia="华文仿宋" w:cs="华文仿宋"/>
          <w:kern w:val="0"/>
          <w:sz w:val="28"/>
          <w:szCs w:val="28"/>
          <w:lang w:val="en-US" w:eastAsia="zh-CN"/>
        </w:rPr>
        <w:t>5</w:t>
      </w:r>
      <w:r>
        <w:rPr>
          <w:rFonts w:hint="eastAsia" w:ascii="华文仿宋" w:hAnsi="华文仿宋" w:eastAsia="华文仿宋" w:cs="华文仿宋"/>
          <w:kern w:val="0"/>
          <w:sz w:val="28"/>
          <w:szCs w:val="28"/>
        </w:rPr>
        <w:t>年捐赠</w:t>
      </w:r>
      <w:r>
        <w:rPr>
          <w:rFonts w:hint="eastAsia" w:ascii="华文仿宋" w:hAnsi="华文仿宋" w:eastAsia="华文仿宋" w:cs="华文仿宋"/>
          <w:kern w:val="0"/>
          <w:sz w:val="28"/>
          <w:szCs w:val="28"/>
          <w:lang w:val="en-US" w:eastAsia="zh-CN"/>
        </w:rPr>
        <w:t>163</w:t>
      </w:r>
      <w:r>
        <w:rPr>
          <w:rFonts w:hint="eastAsia" w:ascii="华文仿宋" w:hAnsi="华文仿宋" w:eastAsia="华文仿宋" w:cs="华文仿宋"/>
          <w:kern w:val="0"/>
          <w:sz w:val="28"/>
          <w:szCs w:val="28"/>
        </w:rPr>
        <w:t>所爱心图书室，</w:t>
      </w:r>
      <w:r>
        <w:rPr>
          <w:rFonts w:hint="eastAsia" w:ascii="华文仿宋" w:hAnsi="华文仿宋" w:eastAsia="华文仿宋" w:cs="华文仿宋"/>
          <w:kern w:val="0"/>
          <w:sz w:val="28"/>
          <w:szCs w:val="28"/>
          <w:lang w:val="en-US" w:eastAsia="zh-CN"/>
        </w:rPr>
        <w:t>约合1880万码洋</w:t>
      </w:r>
      <w:r>
        <w:rPr>
          <w:rFonts w:hint="eastAsia" w:ascii="华文仿宋" w:hAnsi="华文仿宋" w:eastAsia="华文仿宋" w:cs="华文仿宋"/>
          <w:kern w:val="0"/>
          <w:sz w:val="28"/>
          <w:szCs w:val="28"/>
        </w:rPr>
        <w:t>，</w:t>
      </w:r>
      <w:r>
        <w:rPr>
          <w:rFonts w:hint="eastAsia" w:ascii="华文仿宋" w:hAnsi="华文仿宋" w:eastAsia="华文仿宋" w:cs="华文仿宋"/>
          <w:kern w:val="0"/>
          <w:sz w:val="28"/>
          <w:szCs w:val="28"/>
          <w:lang w:val="en-US" w:eastAsia="zh-CN"/>
        </w:rPr>
        <w:t>足迹</w:t>
      </w:r>
      <w:r>
        <w:rPr>
          <w:rFonts w:hint="eastAsia" w:ascii="华文仿宋" w:hAnsi="华文仿宋" w:eastAsia="华文仿宋" w:cs="华文仿宋"/>
          <w:kern w:val="0"/>
          <w:sz w:val="28"/>
          <w:szCs w:val="28"/>
        </w:rPr>
        <w:t>遍布</w:t>
      </w:r>
      <w:r>
        <w:rPr>
          <w:rFonts w:hint="eastAsia" w:ascii="华文仿宋" w:hAnsi="华文仿宋" w:eastAsia="华文仿宋" w:cs="华文仿宋"/>
          <w:kern w:val="0"/>
          <w:sz w:val="28"/>
          <w:szCs w:val="28"/>
          <w:lang w:val="en-US" w:eastAsia="zh-CN"/>
        </w:rPr>
        <w:t>西藏</w:t>
      </w:r>
      <w:r>
        <w:rPr>
          <w:rFonts w:hint="eastAsia" w:ascii="华文仿宋" w:hAnsi="华文仿宋" w:eastAsia="华文仿宋" w:cs="华文仿宋"/>
          <w:kern w:val="0"/>
          <w:sz w:val="28"/>
          <w:szCs w:val="28"/>
        </w:rPr>
        <w:t>、贵州、四川、山东、云南、内蒙古、湖南、陕西、甘肃、新疆等</w:t>
      </w:r>
      <w:r>
        <w:rPr>
          <w:rFonts w:hint="eastAsia" w:ascii="华文仿宋" w:hAnsi="华文仿宋" w:eastAsia="华文仿宋" w:cs="华文仿宋"/>
          <w:kern w:val="0"/>
          <w:sz w:val="28"/>
          <w:szCs w:val="28"/>
          <w:lang w:val="en-US" w:eastAsia="zh-CN"/>
        </w:rPr>
        <w:t>20余</w:t>
      </w:r>
      <w:r>
        <w:rPr>
          <w:rFonts w:hint="eastAsia" w:ascii="华文仿宋" w:hAnsi="华文仿宋" w:eastAsia="华文仿宋" w:cs="华文仿宋"/>
          <w:kern w:val="0"/>
          <w:sz w:val="28"/>
          <w:szCs w:val="28"/>
        </w:rPr>
        <w:t>省市</w:t>
      </w:r>
      <w:r>
        <w:rPr>
          <w:rFonts w:hint="eastAsia" w:ascii="华文仿宋" w:hAnsi="华文仿宋" w:eastAsia="华文仿宋" w:cs="华文仿宋"/>
          <w:kern w:val="0"/>
          <w:sz w:val="28"/>
          <w:szCs w:val="28"/>
          <w:lang w:eastAsia="zh-CN"/>
        </w:rPr>
        <w:t>，</w:t>
      </w:r>
      <w:r>
        <w:rPr>
          <w:rFonts w:hint="eastAsia" w:ascii="华文仿宋" w:hAnsi="华文仿宋" w:eastAsia="华文仿宋" w:cs="华文仿宋"/>
          <w:kern w:val="0"/>
          <w:sz w:val="28"/>
          <w:szCs w:val="28"/>
          <w:lang w:val="en-US" w:eastAsia="zh-CN"/>
        </w:rPr>
        <w:t>组织开展阅读推广活动43场。重点推进“423全民阅读大会”、“红军小学图书室”、“榕江县灾后重建”、“西藏国门书屋”——每一场活动、每一次捐赠，都在持续回应着乡村青少年对阅读的深切期待。这一切背后，是社会爱心与公益初心的共鸣，让善读书、读好书的氛围在祖国最需要的地方生根发芽。</w:t>
      </w:r>
    </w:p>
    <w:p w14:paraId="6131BEAD">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1A40CFB4">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580" w:lineRule="exact"/>
        <w:textAlignment w:val="auto"/>
        <w:rPr>
          <w:rFonts w:hint="default" w:ascii="黑体" w:hAnsi="黑体" w:eastAsia="黑体" w:cs="黑体"/>
          <w:kern w:val="0"/>
          <w:sz w:val="28"/>
          <w:szCs w:val="28"/>
          <w:lang w:val="en-US" w:eastAsia="zh-CN"/>
        </w:rPr>
      </w:pPr>
      <w:r>
        <w:rPr>
          <w:rFonts w:hint="eastAsia" w:ascii="黑体" w:hAnsi="黑体" w:eastAsia="黑体" w:cs="黑体"/>
          <w:kern w:val="0"/>
          <w:sz w:val="28"/>
          <w:szCs w:val="28"/>
          <w:lang w:val="en-US" w:eastAsia="zh-CN"/>
        </w:rPr>
        <w:t>重点工作</w:t>
      </w:r>
    </w:p>
    <w:p w14:paraId="6F46BEB0">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580" w:lineRule="exact"/>
        <w:textAlignment w:val="auto"/>
        <w:rPr>
          <w:rFonts w:hint="eastAsia" w:ascii="华文仿宋" w:hAnsi="华文仿宋" w:eastAsia="华文仿宋" w:cs="华文仿宋"/>
          <w:b/>
          <w:bCs/>
          <w:kern w:val="0"/>
          <w:sz w:val="28"/>
          <w:szCs w:val="28"/>
          <w:lang w:val="en-US" w:eastAsia="zh-CN"/>
        </w:rPr>
      </w:pPr>
      <w:r>
        <w:rPr>
          <w:rFonts w:hint="eastAsia" w:ascii="华文仿宋" w:hAnsi="华文仿宋" w:eastAsia="华文仿宋" w:cs="华文仿宋"/>
          <w:b/>
          <w:bCs/>
          <w:kern w:val="0"/>
          <w:sz w:val="28"/>
          <w:szCs w:val="28"/>
          <w:lang w:val="en-US" w:eastAsia="zh-CN"/>
        </w:rPr>
        <w:t>（一）423全民阅读大会</w:t>
      </w:r>
    </w:p>
    <w:p w14:paraId="3AEC7C63">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1、执行情况</w:t>
      </w:r>
    </w:p>
    <w:p w14:paraId="4EAE6912">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2025年4 月 23 日，第四届全民阅读大会于山西太原盛大开幕，大会特别设置的“童阅中国”成果展区，通过展示乡村儿童读书笔记、阅读成长档案等生动案例，为解决城乡阅读资源不均衡问题提供了可复制的实践范式，助力每个孩子在书香中遇见更广阔的世界，并充分发挥 “阅读阅中国” 公益项目在阅读推广、宣传展示等方面的作用。</w:t>
      </w:r>
    </w:p>
    <w:p w14:paraId="1FEE4FEA">
      <w:pPr>
        <w:spacing w:line="580" w:lineRule="exact"/>
        <w:ind w:firstLine="560" w:firstLineChars="200"/>
        <w:jc w:val="left"/>
        <w:rPr>
          <w:rFonts w:hint="eastAsia" w:ascii="华文仿宋" w:hAnsi="华文仿宋" w:eastAsia="华文仿宋" w:cs="华文仿宋"/>
          <w:kern w:val="0"/>
          <w:sz w:val="28"/>
          <w:szCs w:val="28"/>
          <w:lang w:val="en-US" w:eastAsia="zh-CN"/>
        </w:rPr>
      </w:pPr>
      <w:r>
        <w:rPr>
          <w:sz w:val="28"/>
          <w:szCs w:val="28"/>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202565</wp:posOffset>
            </wp:positionV>
            <wp:extent cx="2374900" cy="1842770"/>
            <wp:effectExtent l="0" t="0" r="12700" b="11430"/>
            <wp:wrapNone/>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7"/>
                    <a:stretch>
                      <a:fillRect/>
                    </a:stretch>
                  </pic:blipFill>
                  <pic:spPr>
                    <a:xfrm>
                      <a:off x="0" y="0"/>
                      <a:ext cx="2374900" cy="1842770"/>
                    </a:xfrm>
                    <a:prstGeom prst="rect">
                      <a:avLst/>
                    </a:prstGeom>
                    <a:noFill/>
                    <a:ln>
                      <a:noFill/>
                    </a:ln>
                  </pic:spPr>
                </pic:pic>
              </a:graphicData>
            </a:graphic>
          </wp:anchor>
        </w:drawing>
      </w:r>
      <w:r>
        <w:rPr>
          <w:sz w:val="28"/>
          <w:szCs w:val="28"/>
        </w:rPr>
        <w:drawing>
          <wp:anchor distT="0" distB="0" distL="114300" distR="114300" simplePos="0" relativeHeight="251660288" behindDoc="0" locked="0" layoutInCell="1" allowOverlap="1">
            <wp:simplePos x="0" y="0"/>
            <wp:positionH relativeFrom="column">
              <wp:posOffset>172720</wp:posOffset>
            </wp:positionH>
            <wp:positionV relativeFrom="paragraph">
              <wp:posOffset>207645</wp:posOffset>
            </wp:positionV>
            <wp:extent cx="2448560" cy="1845945"/>
            <wp:effectExtent l="0" t="0" r="15240" b="8255"/>
            <wp:wrapNone/>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8"/>
                    <a:stretch>
                      <a:fillRect/>
                    </a:stretch>
                  </pic:blipFill>
                  <pic:spPr>
                    <a:xfrm>
                      <a:off x="0" y="0"/>
                      <a:ext cx="2448560" cy="1845945"/>
                    </a:xfrm>
                    <a:prstGeom prst="rect">
                      <a:avLst/>
                    </a:prstGeom>
                    <a:noFill/>
                    <a:ln>
                      <a:noFill/>
                    </a:ln>
                  </pic:spPr>
                </pic:pic>
              </a:graphicData>
            </a:graphic>
          </wp:anchor>
        </w:drawing>
      </w:r>
    </w:p>
    <w:p w14:paraId="0F812B35">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6D6D1A35">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497A789E">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656681A8">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190C674F">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                        </w:t>
      </w:r>
    </w:p>
    <w:p w14:paraId="56E69ED6">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永济市鹳雀楼分会场以“晋请悦读”跟着阅读去旅行首场活动为亮点，通过“文化闯关+名家讲坛+公益实践”多维互动掀起阅读热潮。在中央广播电视总台主持人王筱磊的串联下，现场与线上超 10 万观众共同开启古中国文化探索之旅。在古诗词问答、公益读书会等环节中架起文化共鸣的桥梁，并联动“阅读阅中国”，将地方文献研究、新媒体传播创新与青少年教育实践相结合，探索出可复制的文化焕新模式，使鹳雀楼成为激活传统文化生命力的立体阅读空间。</w:t>
      </w:r>
    </w:p>
    <w:p w14:paraId="238F1E5D">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ascii="宋体" w:hAnsi="宋体" w:eastAsia="宋体" w:cs="宋体"/>
          <w:sz w:val="28"/>
          <w:szCs w:val="28"/>
        </w:rPr>
        <w:drawing>
          <wp:anchor distT="0" distB="0" distL="114300" distR="114300" simplePos="0" relativeHeight="251662336" behindDoc="0" locked="0" layoutInCell="1" allowOverlap="1">
            <wp:simplePos x="0" y="0"/>
            <wp:positionH relativeFrom="column">
              <wp:posOffset>2647315</wp:posOffset>
            </wp:positionH>
            <wp:positionV relativeFrom="paragraph">
              <wp:posOffset>47625</wp:posOffset>
            </wp:positionV>
            <wp:extent cx="2513330" cy="1677035"/>
            <wp:effectExtent l="0" t="0" r="1270" b="24765"/>
            <wp:wrapNone/>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2513330" cy="1677035"/>
                    </a:xfrm>
                    <a:prstGeom prst="rect">
                      <a:avLst/>
                    </a:prstGeom>
                    <a:noFill/>
                    <a:ln w="9525">
                      <a:noFill/>
                    </a:ln>
                  </pic:spPr>
                </pic:pic>
              </a:graphicData>
            </a:graphic>
          </wp:anchor>
        </w:drawing>
      </w:r>
      <w:r>
        <w:rPr>
          <w:rFonts w:ascii="宋体" w:hAnsi="宋体" w:eastAsia="宋体" w:cs="宋体"/>
          <w:sz w:val="28"/>
          <w:szCs w:val="28"/>
        </w:rPr>
        <w:drawing>
          <wp:anchor distT="0" distB="0" distL="114300" distR="114300" simplePos="0" relativeHeight="251663360" behindDoc="0" locked="0" layoutInCell="1" allowOverlap="1">
            <wp:simplePos x="0" y="0"/>
            <wp:positionH relativeFrom="column">
              <wp:posOffset>29210</wp:posOffset>
            </wp:positionH>
            <wp:positionV relativeFrom="paragraph">
              <wp:posOffset>29210</wp:posOffset>
            </wp:positionV>
            <wp:extent cx="2520315" cy="1680210"/>
            <wp:effectExtent l="0" t="0" r="19685" b="21590"/>
            <wp:wrapNone/>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2520315" cy="1680210"/>
                    </a:xfrm>
                    <a:prstGeom prst="rect">
                      <a:avLst/>
                    </a:prstGeom>
                    <a:noFill/>
                    <a:ln w="9525">
                      <a:noFill/>
                    </a:ln>
                  </pic:spPr>
                </pic:pic>
              </a:graphicData>
            </a:graphic>
          </wp:anchor>
        </w:drawing>
      </w:r>
    </w:p>
    <w:p w14:paraId="1DDC1EFD">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7E766FD7">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                       </w:t>
      </w:r>
    </w:p>
    <w:p w14:paraId="529E238C">
      <w:pPr>
        <w:spacing w:line="580" w:lineRule="exact"/>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                            </w:t>
      </w:r>
    </w:p>
    <w:p w14:paraId="798443DF">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阅读阅中国”公益领读者传递爱心，围绕大会主题深情讲述阅读故事、分享阅读体验。在助力乡村教育的公益实践中，公益领读者用不同方式倡导阅读力量：林伟文勉励乡村孩子以书籍为阶梯，在坚持中培养恒心与视野；刘余香强调经典阅读能传承智慧，希望通过阅读能够改变更多年轻人的命运，让他们能够用自己的方式去影响和改变世界。活动最后，为运城相关学校捐赠图书。</w:t>
      </w:r>
    </w:p>
    <w:p w14:paraId="0189D044">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2、成效</w:t>
      </w:r>
    </w:p>
    <w:p w14:paraId="27E05F94">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本次系列活动借</w:t>
      </w:r>
      <w:r>
        <w:rPr>
          <w:rFonts w:hint="eastAsia" w:ascii="华文仿宋" w:hAnsi="华文仿宋" w:eastAsia="华文仿宋" w:cs="华文仿宋"/>
          <w:kern w:val="0"/>
          <w:sz w:val="28"/>
          <w:szCs w:val="28"/>
          <w:highlight w:val="none"/>
          <w:lang w:val="en-US" w:eastAsia="zh-CN"/>
        </w:rPr>
        <w:t>助央视频、中青网的</w:t>
      </w:r>
      <w:r>
        <w:rPr>
          <w:rFonts w:hint="eastAsia" w:ascii="华文仿宋" w:hAnsi="华文仿宋" w:eastAsia="华文仿宋" w:cs="华文仿宋"/>
          <w:kern w:val="0"/>
          <w:sz w:val="28"/>
          <w:szCs w:val="28"/>
          <w:lang w:val="en-US" w:eastAsia="zh-CN"/>
        </w:rPr>
        <w:t>传播优势，以及单霁翔等文化名家的专业引领，显著提升了全民阅读的社会关注度与影响力。活动通过多样化的参与形式降低了阅读推广的门槛，吸引不同年龄、不同群体主动参与阅读实践，有效强化了“爱读书、读好书、善读书”的社会风尚。同时，“阅读阅中国”公益项目的深度参与，进一步整合了社会公益力量，形成政府引导、社会参与、多方协同的全民阅读推广合力，为书香社会建设注入持续活力。</w:t>
      </w:r>
    </w:p>
    <w:p w14:paraId="4D462D27">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7879E22B">
      <w:pPr>
        <w:spacing w:line="580" w:lineRule="exact"/>
        <w:jc w:val="left"/>
        <w:rPr>
          <w:rFonts w:hint="default" w:ascii="华文仿宋" w:hAnsi="华文仿宋" w:eastAsia="华文仿宋" w:cs="华文仿宋"/>
          <w:b/>
          <w:bCs/>
          <w:kern w:val="0"/>
          <w:sz w:val="28"/>
          <w:szCs w:val="28"/>
          <w:lang w:val="en-US" w:eastAsia="zh-CN"/>
        </w:rPr>
      </w:pPr>
      <w:r>
        <w:rPr>
          <w:rFonts w:hint="eastAsia" w:ascii="华文仿宋" w:hAnsi="华文仿宋" w:eastAsia="华文仿宋" w:cs="华文仿宋"/>
          <w:b/>
          <w:bCs/>
          <w:kern w:val="0"/>
          <w:sz w:val="28"/>
          <w:szCs w:val="28"/>
          <w:lang w:val="en-US" w:eastAsia="zh-CN"/>
        </w:rPr>
        <w:t>（二）红军小学图书室</w:t>
      </w:r>
    </w:p>
    <w:p w14:paraId="1ED4D140">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1、执行情况</w:t>
      </w:r>
    </w:p>
    <w:p w14:paraId="7322107D">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7月24日，易县遭遇</w:t>
      </w:r>
      <w:r>
        <w:rPr>
          <w:rFonts w:hint="eastAsia" w:ascii="华文仿宋" w:hAnsi="华文仿宋" w:eastAsia="华文仿宋" w:cs="华文仿宋"/>
          <w:color w:val="auto"/>
          <w:kern w:val="0"/>
          <w:sz w:val="28"/>
          <w:szCs w:val="28"/>
          <w:lang w:val="en-US" w:eastAsia="zh-CN"/>
        </w:rPr>
        <w:t>极端</w:t>
      </w:r>
      <w:r>
        <w:rPr>
          <w:rFonts w:hint="eastAsia" w:ascii="华文仿宋" w:hAnsi="华文仿宋" w:eastAsia="华文仿宋" w:cs="华文仿宋"/>
          <w:kern w:val="0"/>
          <w:sz w:val="28"/>
          <w:szCs w:val="28"/>
          <w:lang w:val="en-US" w:eastAsia="zh-CN"/>
        </w:rPr>
        <w:t>强降雨天气，全县基础设施损毁严重，防汛救灾与民生保障工作面临严峻考验。灾情发生后，“阅读阅中国”积极行动，为易县狼牙山五壮士红军学校捐赠价值20万元图书。以易县灾情应急捐赠为起点，充分总结前期公益帮扶经验，立足“传承红色基因、赋能乡村教育”的核心目标，决定将公益阅读资源进一步下沉至全国更多红军小学，启动系列连续捐赠行动。先后为甘肃省临泽红军小学、广西百色田东红七军红军小学、惠州廖承志红军小学、陕西省富平仲勋红军学校、中国工农红军湖南湘潭彭德怀红军小学、中国工农红军湖北恩施建始革命英烈红军小学、中国工农红军东村会议红军小学、吉林临江陈云红军小学、南阳卧龙红军小学等9所学校捐赠图书。在图书遴选环节，严格遵循“红色导向、适配年龄、优质正版”的原则，重点选取红色革命故事、英雄人物传记、地方红色史料等契合红军小学教育特色的读物，同时搭配多元学科科普、经典文学作品，全面满足学生阅读与成长需求。执行过程中，项目组规范落实图书采购、清点、打包、物流跟踪等全流程管理，针对部分偏远地区的红军小学，主动联动当地公益组织、教育部门协助完成物资接收与清点交接，现场核对图书清单并签订捐赠确认文件，为每所受助学校出具捐赠凭证，确保连续捐赠行动全程公开透明、可追溯。</w:t>
      </w:r>
    </w:p>
    <w:p w14:paraId="5EF0AE4A">
      <w:pPr>
        <w:spacing w:line="580" w:lineRule="exact"/>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drawing>
          <wp:anchor distT="0" distB="0" distL="114300" distR="114300" simplePos="0" relativeHeight="251665408" behindDoc="0" locked="0" layoutInCell="1" allowOverlap="1">
            <wp:simplePos x="0" y="0"/>
            <wp:positionH relativeFrom="column">
              <wp:posOffset>2638425</wp:posOffset>
            </wp:positionH>
            <wp:positionV relativeFrom="paragraph">
              <wp:posOffset>58420</wp:posOffset>
            </wp:positionV>
            <wp:extent cx="2286000" cy="1713865"/>
            <wp:effectExtent l="0" t="0" r="0" b="635"/>
            <wp:wrapNone/>
            <wp:docPr id="4" name="图片 4" descr="0af6ed1145ab592c700002c41c4829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af6ed1145ab592c700002c41c4829d2"/>
                    <pic:cNvPicPr>
                      <a:picLocks noChangeAspect="1"/>
                    </pic:cNvPicPr>
                  </pic:nvPicPr>
                  <pic:blipFill>
                    <a:blip r:embed="rId11"/>
                    <a:stretch>
                      <a:fillRect/>
                    </a:stretch>
                  </pic:blipFill>
                  <pic:spPr>
                    <a:xfrm>
                      <a:off x="0" y="0"/>
                      <a:ext cx="2286000" cy="1713865"/>
                    </a:xfrm>
                    <a:prstGeom prst="rect">
                      <a:avLst/>
                    </a:prstGeom>
                  </pic:spPr>
                </pic:pic>
              </a:graphicData>
            </a:graphic>
          </wp:anchor>
        </w:drawing>
      </w:r>
      <w:r>
        <w:rPr>
          <w:rFonts w:hint="default" w:ascii="华文仿宋" w:hAnsi="华文仿宋" w:eastAsia="华文仿宋" w:cs="华文仿宋"/>
          <w:kern w:val="0"/>
          <w:sz w:val="28"/>
          <w:szCs w:val="28"/>
          <w:lang w:val="en-US" w:eastAsia="zh-CN"/>
        </w:rPr>
        <w:drawing>
          <wp:anchor distT="0" distB="0" distL="114300" distR="114300" simplePos="0" relativeHeight="251664384" behindDoc="0" locked="0" layoutInCell="1" allowOverlap="1">
            <wp:simplePos x="0" y="0"/>
            <wp:positionH relativeFrom="column">
              <wp:posOffset>8890</wp:posOffset>
            </wp:positionH>
            <wp:positionV relativeFrom="paragraph">
              <wp:posOffset>67945</wp:posOffset>
            </wp:positionV>
            <wp:extent cx="2282190" cy="1711325"/>
            <wp:effectExtent l="0" t="0" r="3810" b="3175"/>
            <wp:wrapNone/>
            <wp:docPr id="3" name="图片 3" descr="acaba3f4c8a97805e0f262184cf0f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caba3f4c8a97805e0f262184cf0fb5a"/>
                    <pic:cNvPicPr>
                      <a:picLocks noChangeAspect="1"/>
                    </pic:cNvPicPr>
                  </pic:nvPicPr>
                  <pic:blipFill>
                    <a:blip r:embed="rId12"/>
                    <a:stretch>
                      <a:fillRect/>
                    </a:stretch>
                  </pic:blipFill>
                  <pic:spPr>
                    <a:xfrm>
                      <a:off x="0" y="0"/>
                      <a:ext cx="2282190" cy="1711325"/>
                    </a:xfrm>
                    <a:prstGeom prst="rect">
                      <a:avLst/>
                    </a:prstGeom>
                  </pic:spPr>
                </pic:pic>
              </a:graphicData>
            </a:graphic>
          </wp:anchor>
        </w:drawing>
      </w:r>
    </w:p>
    <w:p w14:paraId="6B7FBD7A">
      <w:pPr>
        <w:spacing w:line="580" w:lineRule="exact"/>
        <w:jc w:val="left"/>
        <w:rPr>
          <w:rFonts w:hint="eastAsia" w:ascii="华文仿宋" w:hAnsi="华文仿宋" w:eastAsia="华文仿宋" w:cs="华文仿宋"/>
          <w:kern w:val="0"/>
          <w:sz w:val="28"/>
          <w:szCs w:val="28"/>
          <w:lang w:val="en-US" w:eastAsia="zh-CN"/>
        </w:rPr>
      </w:pPr>
    </w:p>
    <w:p w14:paraId="66355D9E">
      <w:pPr>
        <w:spacing w:line="580" w:lineRule="exact"/>
        <w:jc w:val="left"/>
        <w:rPr>
          <w:rFonts w:hint="eastAsia" w:ascii="华文仿宋" w:hAnsi="华文仿宋" w:eastAsia="华文仿宋" w:cs="华文仿宋"/>
          <w:kern w:val="0"/>
          <w:sz w:val="28"/>
          <w:szCs w:val="28"/>
          <w:lang w:val="en-US" w:eastAsia="zh-CN"/>
        </w:rPr>
      </w:pPr>
    </w:p>
    <w:p w14:paraId="32A91342">
      <w:pPr>
        <w:spacing w:line="580" w:lineRule="exact"/>
        <w:jc w:val="left"/>
        <w:rPr>
          <w:rFonts w:hint="eastAsia" w:ascii="华文仿宋" w:hAnsi="华文仿宋" w:eastAsia="华文仿宋" w:cs="华文仿宋"/>
          <w:kern w:val="0"/>
          <w:sz w:val="28"/>
          <w:szCs w:val="28"/>
          <w:lang w:val="en-US" w:eastAsia="zh-CN"/>
        </w:rPr>
      </w:pPr>
    </w:p>
    <w:p w14:paraId="2585BC7A">
      <w:pPr>
        <w:spacing w:line="580" w:lineRule="exact"/>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                 </w:t>
      </w:r>
    </w:p>
    <w:p w14:paraId="46584A26">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2、成效</w:t>
      </w:r>
    </w:p>
    <w:p w14:paraId="5EDEC5E0">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应急帮扶精准落地，筑牢灾区教育恢复根基。为易县狼牙山五壮士红军，及时填补了灾情后学校阅读资源的缺口，不仅保障了学生正常阅读需求，更以书香传递温暖，为受灾学生提供了心灵慰藉，有效助力学校教育教学秩序快速恢复。</w:t>
      </w:r>
    </w:p>
    <w:p w14:paraId="5EAAD09E">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优质资源全域下沉，助力教育公平推进。通过为9所红军小学连续配送个性化优质图书，精准弥补了偏远地区及红色教育基地学校的阅读资源短板，让不同地域的青少年都能接触到多元优质的阅读内容，切实缩小了城乡、区域间的阅读资源差距，为推进教育公平注入公益力量。</w:t>
      </w:r>
    </w:p>
    <w:p w14:paraId="691E2994">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3）红色教育深度赋能，厚植青少年家国情怀。捐赠图书重点聚焦红色经典主题，搭配系列红色阅读分享、经典诵读等活动，将阅读推广与红色基因传承有机融合，有效引导青少年深入了解革命历史、缅怀英雄先烈，进一步增强了爱国情怀与民族自豪感，夯实了红色教育根基。</w:t>
      </w:r>
    </w:p>
    <w:p w14:paraId="7E02A652">
      <w:pPr>
        <w:spacing w:line="580" w:lineRule="exact"/>
        <w:ind w:firstLine="560" w:firstLineChars="200"/>
        <w:jc w:val="left"/>
        <w:rPr>
          <w:rFonts w:hint="eastAsia" w:ascii="华文仿宋" w:hAnsi="华文仿宋" w:eastAsia="华文仿宋" w:cs="华文仿宋"/>
          <w:kern w:val="0"/>
          <w:sz w:val="28"/>
          <w:szCs w:val="28"/>
          <w:lang w:val="en-US" w:eastAsia="zh-CN"/>
        </w:rPr>
      </w:pPr>
      <w:r>
        <w:rPr>
          <w:sz w:val="28"/>
          <w:szCs w:val="28"/>
        </w:rPr>
        <w:drawing>
          <wp:anchor distT="0" distB="0" distL="114300" distR="114300" simplePos="0" relativeHeight="251667456" behindDoc="0" locked="0" layoutInCell="1" allowOverlap="1">
            <wp:simplePos x="0" y="0"/>
            <wp:positionH relativeFrom="column">
              <wp:posOffset>2646680</wp:posOffset>
            </wp:positionH>
            <wp:positionV relativeFrom="paragraph">
              <wp:posOffset>172085</wp:posOffset>
            </wp:positionV>
            <wp:extent cx="2407920" cy="1890395"/>
            <wp:effectExtent l="0" t="0" r="11430" b="14605"/>
            <wp:wrapNone/>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a:stretch>
                      <a:fillRect/>
                    </a:stretch>
                  </pic:blipFill>
                  <pic:spPr>
                    <a:xfrm>
                      <a:off x="0" y="0"/>
                      <a:ext cx="2407920" cy="1890395"/>
                    </a:xfrm>
                    <a:prstGeom prst="rect">
                      <a:avLst/>
                    </a:prstGeom>
                    <a:noFill/>
                    <a:ln>
                      <a:noFill/>
                    </a:ln>
                  </pic:spPr>
                </pic:pic>
              </a:graphicData>
            </a:graphic>
          </wp:anchor>
        </w:drawing>
      </w:r>
      <w:r>
        <w:rPr>
          <w:sz w:val="28"/>
          <w:szCs w:val="28"/>
        </w:rPr>
        <w:drawing>
          <wp:anchor distT="0" distB="0" distL="114300" distR="114300" simplePos="0" relativeHeight="251666432" behindDoc="0" locked="0" layoutInCell="1" allowOverlap="1">
            <wp:simplePos x="0" y="0"/>
            <wp:positionH relativeFrom="column">
              <wp:posOffset>-19685</wp:posOffset>
            </wp:positionH>
            <wp:positionV relativeFrom="paragraph">
              <wp:posOffset>173355</wp:posOffset>
            </wp:positionV>
            <wp:extent cx="2318385" cy="1915795"/>
            <wp:effectExtent l="0" t="0" r="5715" b="8255"/>
            <wp:wrapNone/>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tretch>
                      <a:fillRect/>
                    </a:stretch>
                  </pic:blipFill>
                  <pic:spPr>
                    <a:xfrm>
                      <a:off x="0" y="0"/>
                      <a:ext cx="2318385" cy="1915795"/>
                    </a:xfrm>
                    <a:prstGeom prst="rect">
                      <a:avLst/>
                    </a:prstGeom>
                    <a:noFill/>
                    <a:ln>
                      <a:noFill/>
                    </a:ln>
                  </pic:spPr>
                </pic:pic>
              </a:graphicData>
            </a:graphic>
          </wp:anchor>
        </w:drawing>
      </w:r>
    </w:p>
    <w:p w14:paraId="67A436C2">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0432FBCA">
      <w:pPr>
        <w:spacing w:line="580" w:lineRule="exact"/>
        <w:jc w:val="left"/>
        <w:rPr>
          <w:rFonts w:hint="eastAsia" w:ascii="华文仿宋" w:hAnsi="华文仿宋" w:eastAsia="华文仿宋" w:cs="华文仿宋"/>
          <w:kern w:val="0"/>
          <w:sz w:val="28"/>
          <w:szCs w:val="28"/>
          <w:lang w:val="en-US" w:eastAsia="zh-CN"/>
        </w:rPr>
      </w:pPr>
    </w:p>
    <w:p w14:paraId="30524E6A">
      <w:pPr>
        <w:spacing w:line="580" w:lineRule="exact"/>
        <w:jc w:val="left"/>
        <w:rPr>
          <w:rFonts w:hint="eastAsia" w:ascii="华文仿宋" w:hAnsi="华文仿宋" w:eastAsia="华文仿宋" w:cs="华文仿宋"/>
          <w:b/>
          <w:bCs/>
          <w:kern w:val="0"/>
          <w:sz w:val="28"/>
          <w:szCs w:val="28"/>
          <w:lang w:val="en-US" w:eastAsia="zh-CN"/>
        </w:rPr>
      </w:pPr>
      <w:r>
        <w:rPr>
          <w:rFonts w:hint="eastAsia" w:ascii="华文仿宋" w:hAnsi="华文仿宋" w:eastAsia="华文仿宋" w:cs="华文仿宋"/>
          <w:b/>
          <w:bCs/>
          <w:kern w:val="0"/>
          <w:sz w:val="28"/>
          <w:szCs w:val="28"/>
          <w:lang w:val="en-US" w:eastAsia="zh-CN"/>
        </w:rPr>
        <w:t>（三）榕江县灾后重建</w:t>
      </w:r>
    </w:p>
    <w:p w14:paraId="2F22C29F">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1、执行情况</w:t>
      </w:r>
    </w:p>
    <w:p w14:paraId="6193DF90">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0206B983">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2025年6月下旬，贵州省榕江县连续遭遇两轮特大洪水袭击，全县教育系统遭受严重损失，多所学校基础设施损毁、阅读资源受损短缺，给学生正常学习生活带来严峻影响。为践行公益使命、助力灾区教育秩序恢复，“阅读阅中国”迅速启动灾情专项公益捐赠行动，定向为榕江县仁里乡中心校、榕江县平江镇中心校、榕江县寨蒿镇太平小学、榕江县塔石乡中心校、榕江县两汪乡中心校、榕江县古州镇第五小学、榕江县计划乡加宜完小、榕江县古州二小、榕江县榕江县古州镇中心校、榕江县八开镇中心校、榕江县兴华水族乡中心校、榕江县三江水族乡中心校、榕江县车民小学等13所受灾学校配送优质阅读资源，明确“精准匹配、及时送达、助力复课”的帮扶目标，重点遴选红色经典、文学名著、科普绘本、学科辅助读物等多品类优质图书，同时兼顾当地民族文化特色，适当配置相关读物，统筹完成图书采购、分类打包工作，确保每一批捐赠图书都精准匹配受助学校师生需求。</w:t>
      </w:r>
    </w:p>
    <w:p w14:paraId="746EC0F0">
      <w:pPr>
        <w:spacing w:line="580" w:lineRule="exact"/>
        <w:jc w:val="left"/>
        <w:rPr>
          <w:rFonts w:hint="eastAsia" w:ascii="华文仿宋" w:hAnsi="华文仿宋" w:eastAsia="华文仿宋" w:cs="华文仿宋"/>
          <w:kern w:val="0"/>
          <w:sz w:val="28"/>
          <w:szCs w:val="28"/>
          <w:lang w:val="en-US" w:eastAsia="zh-CN"/>
        </w:rPr>
      </w:pPr>
      <w:r>
        <w:rPr>
          <w:sz w:val="28"/>
          <w:szCs w:val="28"/>
        </w:rPr>
        <w:drawing>
          <wp:anchor distT="0" distB="0" distL="114300" distR="114300" simplePos="0" relativeHeight="251669504" behindDoc="0" locked="0" layoutInCell="1" allowOverlap="1">
            <wp:simplePos x="0" y="0"/>
            <wp:positionH relativeFrom="column">
              <wp:posOffset>2590800</wp:posOffset>
            </wp:positionH>
            <wp:positionV relativeFrom="paragraph">
              <wp:posOffset>196850</wp:posOffset>
            </wp:positionV>
            <wp:extent cx="2553335" cy="1986280"/>
            <wp:effectExtent l="0" t="0" r="18415" b="13970"/>
            <wp:wrapNone/>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5"/>
                    <a:stretch>
                      <a:fillRect/>
                    </a:stretch>
                  </pic:blipFill>
                  <pic:spPr>
                    <a:xfrm>
                      <a:off x="0" y="0"/>
                      <a:ext cx="2553335" cy="1986280"/>
                    </a:xfrm>
                    <a:prstGeom prst="rect">
                      <a:avLst/>
                    </a:prstGeom>
                    <a:noFill/>
                    <a:ln>
                      <a:noFill/>
                    </a:ln>
                  </pic:spPr>
                </pic:pic>
              </a:graphicData>
            </a:graphic>
          </wp:anchor>
        </w:drawing>
      </w:r>
      <w:r>
        <w:rPr>
          <w:sz w:val="28"/>
          <w:szCs w:val="28"/>
        </w:rPr>
        <w:drawing>
          <wp:anchor distT="0" distB="0" distL="114300" distR="114300" simplePos="0" relativeHeight="251668480" behindDoc="0" locked="0" layoutInCell="1" allowOverlap="1">
            <wp:simplePos x="0" y="0"/>
            <wp:positionH relativeFrom="column">
              <wp:posOffset>46990</wp:posOffset>
            </wp:positionH>
            <wp:positionV relativeFrom="paragraph">
              <wp:posOffset>193675</wp:posOffset>
            </wp:positionV>
            <wp:extent cx="2453640" cy="1963420"/>
            <wp:effectExtent l="0" t="0" r="3810" b="1778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2453640" cy="1963420"/>
                    </a:xfrm>
                    <a:prstGeom prst="rect">
                      <a:avLst/>
                    </a:prstGeom>
                    <a:noFill/>
                    <a:ln>
                      <a:noFill/>
                    </a:ln>
                  </pic:spPr>
                </pic:pic>
              </a:graphicData>
            </a:graphic>
          </wp:anchor>
        </w:drawing>
      </w:r>
    </w:p>
    <w:p w14:paraId="25AD427F">
      <w:pPr>
        <w:spacing w:line="580" w:lineRule="exact"/>
        <w:jc w:val="left"/>
        <w:rPr>
          <w:rFonts w:hint="eastAsia" w:ascii="华文仿宋" w:hAnsi="华文仿宋" w:eastAsia="华文仿宋" w:cs="华文仿宋"/>
          <w:kern w:val="0"/>
          <w:sz w:val="28"/>
          <w:szCs w:val="28"/>
          <w:lang w:val="en-US" w:eastAsia="zh-CN"/>
        </w:rPr>
      </w:pPr>
    </w:p>
    <w:p w14:paraId="39651DB7">
      <w:pPr>
        <w:spacing w:line="580" w:lineRule="exact"/>
        <w:jc w:val="left"/>
        <w:rPr>
          <w:rFonts w:hint="eastAsia" w:ascii="华文仿宋" w:hAnsi="华文仿宋" w:eastAsia="华文仿宋" w:cs="华文仿宋"/>
          <w:kern w:val="0"/>
          <w:sz w:val="28"/>
          <w:szCs w:val="28"/>
          <w:lang w:val="en-US" w:eastAsia="zh-CN"/>
        </w:rPr>
      </w:pPr>
    </w:p>
    <w:p w14:paraId="7A55916A">
      <w:pPr>
        <w:spacing w:line="580" w:lineRule="exact"/>
        <w:jc w:val="left"/>
        <w:rPr>
          <w:rFonts w:hint="eastAsia" w:ascii="华文仿宋" w:hAnsi="华文仿宋" w:eastAsia="华文仿宋" w:cs="华文仿宋"/>
          <w:kern w:val="0"/>
          <w:sz w:val="28"/>
          <w:szCs w:val="28"/>
          <w:lang w:val="en-US" w:eastAsia="zh-CN"/>
        </w:rPr>
      </w:pPr>
    </w:p>
    <w:p w14:paraId="640D7ACC">
      <w:pPr>
        <w:spacing w:line="580" w:lineRule="exact"/>
        <w:jc w:val="left"/>
        <w:rPr>
          <w:rFonts w:hint="eastAsia" w:ascii="华文仿宋" w:hAnsi="华文仿宋" w:eastAsia="华文仿宋" w:cs="华文仿宋"/>
          <w:kern w:val="0"/>
          <w:sz w:val="28"/>
          <w:szCs w:val="28"/>
          <w:lang w:val="en-US" w:eastAsia="zh-CN"/>
        </w:rPr>
      </w:pPr>
    </w:p>
    <w:p w14:paraId="2C659550">
      <w:pPr>
        <w:spacing w:line="580" w:lineRule="exact"/>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                             </w:t>
      </w:r>
    </w:p>
    <w:p w14:paraId="0F409227">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327D891E">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2、成效</w:t>
      </w:r>
    </w:p>
    <w:p w14:paraId="4A70D321">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阅读阅中国”项目组，不仅及时为13所受灾学校补充了优质阅读资源，保障了学生灾后正常阅读需求，更以书香传递社会温暖，为受灾学生送去心灵慰藉，有效助力了灾区教育教学秩序的快速恢复。同时，项目通过精准对接、高效执行的帮扶举措，进一步缩小了当地城乡阅读资源差距，为推进区域教育公平注入公益力量，也持续完善了“灾情应急响应—精准需求对接—高效物资落地-持续教育赋能”的公益帮扶模式，为后续应对突发灾情、开展教育帮扶积累了可复制的实践经验，彰显了公益项目的社会责任与价值。</w:t>
      </w:r>
    </w:p>
    <w:p w14:paraId="5A11AD4C">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6C3459F8">
      <w:pPr>
        <w:spacing w:line="580" w:lineRule="exact"/>
        <w:jc w:val="left"/>
        <w:rPr>
          <w:rFonts w:hint="default" w:ascii="华文仿宋" w:hAnsi="华文仿宋" w:eastAsia="华文仿宋" w:cs="华文仿宋"/>
          <w:kern w:val="0"/>
          <w:sz w:val="28"/>
          <w:szCs w:val="28"/>
          <w:lang w:val="en-US" w:eastAsia="zh-CN"/>
        </w:rPr>
      </w:pPr>
      <w:r>
        <w:rPr>
          <w:sz w:val="28"/>
          <w:szCs w:val="28"/>
        </w:rPr>
        <w:drawing>
          <wp:anchor distT="0" distB="0" distL="114300" distR="114300" simplePos="0" relativeHeight="251671552" behindDoc="0" locked="0" layoutInCell="1" allowOverlap="1">
            <wp:simplePos x="0" y="0"/>
            <wp:positionH relativeFrom="column">
              <wp:posOffset>2571750</wp:posOffset>
            </wp:positionH>
            <wp:positionV relativeFrom="paragraph">
              <wp:posOffset>106045</wp:posOffset>
            </wp:positionV>
            <wp:extent cx="2696210" cy="1787525"/>
            <wp:effectExtent l="0" t="0" r="8890" b="3175"/>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7"/>
                    <a:stretch>
                      <a:fillRect/>
                    </a:stretch>
                  </pic:blipFill>
                  <pic:spPr>
                    <a:xfrm>
                      <a:off x="0" y="0"/>
                      <a:ext cx="2696210" cy="1787525"/>
                    </a:xfrm>
                    <a:prstGeom prst="rect">
                      <a:avLst/>
                    </a:prstGeom>
                    <a:noFill/>
                    <a:ln>
                      <a:noFill/>
                    </a:ln>
                  </pic:spPr>
                </pic:pic>
              </a:graphicData>
            </a:graphic>
          </wp:anchor>
        </w:drawing>
      </w:r>
      <w:r>
        <w:rPr>
          <w:sz w:val="28"/>
          <w:szCs w:val="28"/>
        </w:rPr>
        <w:drawing>
          <wp:anchor distT="0" distB="0" distL="114300" distR="114300" simplePos="0" relativeHeight="251670528" behindDoc="0" locked="0" layoutInCell="1" allowOverlap="1">
            <wp:simplePos x="0" y="0"/>
            <wp:positionH relativeFrom="column">
              <wp:posOffset>-104775</wp:posOffset>
            </wp:positionH>
            <wp:positionV relativeFrom="paragraph">
              <wp:posOffset>96520</wp:posOffset>
            </wp:positionV>
            <wp:extent cx="2546350" cy="1782445"/>
            <wp:effectExtent l="0" t="0" r="6350" b="8255"/>
            <wp:wrapNone/>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8"/>
                    <a:stretch>
                      <a:fillRect/>
                    </a:stretch>
                  </pic:blipFill>
                  <pic:spPr>
                    <a:xfrm>
                      <a:off x="0" y="0"/>
                      <a:ext cx="2546350" cy="1782445"/>
                    </a:xfrm>
                    <a:prstGeom prst="rect">
                      <a:avLst/>
                    </a:prstGeom>
                    <a:noFill/>
                    <a:ln>
                      <a:noFill/>
                    </a:ln>
                  </pic:spPr>
                </pic:pic>
              </a:graphicData>
            </a:graphic>
          </wp:anchor>
        </w:drawing>
      </w:r>
      <w:r>
        <w:rPr>
          <w:rFonts w:hint="eastAsia" w:ascii="华文仿宋" w:hAnsi="华文仿宋" w:eastAsia="华文仿宋" w:cs="华文仿宋"/>
          <w:kern w:val="0"/>
          <w:sz w:val="28"/>
          <w:szCs w:val="28"/>
          <w:lang w:val="en-US" w:eastAsia="zh-CN"/>
        </w:rPr>
        <w:t xml:space="preserve">                           </w:t>
      </w:r>
    </w:p>
    <w:p w14:paraId="0A50DDF7">
      <w:pPr>
        <w:spacing w:line="580" w:lineRule="exact"/>
        <w:jc w:val="left"/>
        <w:rPr>
          <w:rFonts w:hint="eastAsia" w:ascii="华文仿宋" w:hAnsi="华文仿宋" w:eastAsia="华文仿宋" w:cs="华文仿宋"/>
          <w:b/>
          <w:bCs/>
          <w:kern w:val="0"/>
          <w:sz w:val="28"/>
          <w:szCs w:val="28"/>
          <w:lang w:val="en-US" w:eastAsia="zh-CN"/>
        </w:rPr>
      </w:pPr>
    </w:p>
    <w:p w14:paraId="66DF1C61">
      <w:pPr>
        <w:spacing w:line="580" w:lineRule="exact"/>
        <w:jc w:val="left"/>
        <w:rPr>
          <w:rFonts w:hint="eastAsia" w:ascii="华文仿宋" w:hAnsi="华文仿宋" w:eastAsia="华文仿宋" w:cs="华文仿宋"/>
          <w:b/>
          <w:bCs/>
          <w:kern w:val="0"/>
          <w:sz w:val="28"/>
          <w:szCs w:val="28"/>
          <w:lang w:val="en-US" w:eastAsia="zh-CN"/>
        </w:rPr>
      </w:pPr>
    </w:p>
    <w:p w14:paraId="0193C0AD">
      <w:pPr>
        <w:spacing w:line="580" w:lineRule="exact"/>
        <w:jc w:val="left"/>
        <w:rPr>
          <w:rFonts w:hint="eastAsia" w:ascii="华文仿宋" w:hAnsi="华文仿宋" w:eastAsia="华文仿宋" w:cs="华文仿宋"/>
          <w:b/>
          <w:bCs/>
          <w:kern w:val="0"/>
          <w:sz w:val="28"/>
          <w:szCs w:val="28"/>
          <w:lang w:val="en-US" w:eastAsia="zh-CN"/>
        </w:rPr>
      </w:pPr>
    </w:p>
    <w:p w14:paraId="409025E3">
      <w:pPr>
        <w:spacing w:line="580" w:lineRule="exact"/>
        <w:jc w:val="left"/>
        <w:rPr>
          <w:rFonts w:hint="eastAsia" w:ascii="华文仿宋" w:hAnsi="华文仿宋" w:eastAsia="华文仿宋" w:cs="华文仿宋"/>
          <w:b/>
          <w:bCs/>
          <w:kern w:val="0"/>
          <w:sz w:val="28"/>
          <w:szCs w:val="28"/>
          <w:lang w:val="en-US" w:eastAsia="zh-CN"/>
        </w:rPr>
      </w:pPr>
    </w:p>
    <w:p w14:paraId="2B5128DD">
      <w:pPr>
        <w:spacing w:line="580" w:lineRule="exact"/>
        <w:jc w:val="left"/>
        <w:rPr>
          <w:rFonts w:hint="default" w:ascii="华文仿宋" w:hAnsi="华文仿宋" w:eastAsia="华文仿宋" w:cs="华文仿宋"/>
          <w:b/>
          <w:bCs/>
          <w:kern w:val="0"/>
          <w:sz w:val="28"/>
          <w:szCs w:val="28"/>
          <w:lang w:val="en-US" w:eastAsia="zh-CN"/>
        </w:rPr>
      </w:pPr>
      <w:r>
        <w:rPr>
          <w:rFonts w:hint="eastAsia" w:ascii="华文仿宋" w:hAnsi="华文仿宋" w:eastAsia="华文仿宋" w:cs="华文仿宋"/>
          <w:b/>
          <w:bCs/>
          <w:kern w:val="0"/>
          <w:sz w:val="28"/>
          <w:szCs w:val="28"/>
          <w:lang w:val="en-US" w:eastAsia="zh-CN"/>
        </w:rPr>
        <w:t>（四）西藏国门书屋</w:t>
      </w:r>
    </w:p>
    <w:p w14:paraId="3AC6A904">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1、执行情况</w:t>
      </w:r>
    </w:p>
    <w:p w14:paraId="5E0C416A">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为响应教育部等八部门印发的《全国青少年学生读书行动实施方案》，“阅读阅中国”项目组实施了重点向边疆民族地区捐建打造“国门书屋”公益项目。捐赠方从支持国家重点帮扶县乡村学校图书阅览室建设，满足乡村孩子的阅读期待的立场出发，向西藏亚东县及那曲地区5所学校捐建的国门书屋，引导激励青少年学生爱读书读好书、善读书；在国门书屋捐建仪式上举办由天安门国旗班首任班长参与的升旗仪式，让青少年学生亲身参与感受国家力量和爱国情感；项目全程以公益纪录片形式呈现，引动社会大众关注卫国戍边、关心边疆青少年成长成才。</w:t>
      </w:r>
    </w:p>
    <w:p w14:paraId="4D2968D7">
      <w:pPr>
        <w:spacing w:line="580" w:lineRule="exact"/>
        <w:jc w:val="left"/>
        <w:rPr>
          <w:rFonts w:hint="eastAsia" w:ascii="华文仿宋" w:hAnsi="华文仿宋" w:eastAsia="华文仿宋" w:cs="华文仿宋"/>
          <w:kern w:val="0"/>
          <w:sz w:val="28"/>
          <w:szCs w:val="28"/>
          <w:lang w:val="en-US" w:eastAsia="zh-CN"/>
        </w:rPr>
      </w:pPr>
      <w:r>
        <w:rPr>
          <w:sz w:val="28"/>
          <w:szCs w:val="28"/>
        </w:rPr>
        <w:drawing>
          <wp:anchor distT="0" distB="0" distL="114300" distR="114300" simplePos="0" relativeHeight="251672576" behindDoc="0" locked="0" layoutInCell="1" allowOverlap="1">
            <wp:simplePos x="0" y="0"/>
            <wp:positionH relativeFrom="column">
              <wp:posOffset>-9525</wp:posOffset>
            </wp:positionH>
            <wp:positionV relativeFrom="paragraph">
              <wp:posOffset>55880</wp:posOffset>
            </wp:positionV>
            <wp:extent cx="2763520" cy="1782445"/>
            <wp:effectExtent l="0" t="0" r="5080" b="20955"/>
            <wp:wrapNone/>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19"/>
                    <a:stretch>
                      <a:fillRect/>
                    </a:stretch>
                  </pic:blipFill>
                  <pic:spPr>
                    <a:xfrm>
                      <a:off x="0" y="0"/>
                      <a:ext cx="2763520" cy="1782445"/>
                    </a:xfrm>
                    <a:prstGeom prst="rect">
                      <a:avLst/>
                    </a:prstGeom>
                    <a:noFill/>
                    <a:ln>
                      <a:noFill/>
                    </a:ln>
                  </pic:spPr>
                </pic:pic>
              </a:graphicData>
            </a:graphic>
          </wp:anchor>
        </w:drawing>
      </w:r>
      <w:r>
        <w:rPr>
          <w:sz w:val="28"/>
          <w:szCs w:val="28"/>
        </w:rPr>
        <w:drawing>
          <wp:anchor distT="0" distB="0" distL="114300" distR="114300" simplePos="0" relativeHeight="251673600" behindDoc="0" locked="0" layoutInCell="1" allowOverlap="1">
            <wp:simplePos x="0" y="0"/>
            <wp:positionH relativeFrom="column">
              <wp:posOffset>2825115</wp:posOffset>
            </wp:positionH>
            <wp:positionV relativeFrom="paragraph">
              <wp:posOffset>60325</wp:posOffset>
            </wp:positionV>
            <wp:extent cx="2451100" cy="1781175"/>
            <wp:effectExtent l="0" t="0" r="12700" b="22225"/>
            <wp:wrapNone/>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20"/>
                    <a:stretch>
                      <a:fillRect/>
                    </a:stretch>
                  </pic:blipFill>
                  <pic:spPr>
                    <a:xfrm>
                      <a:off x="0" y="0"/>
                      <a:ext cx="2451100" cy="1781175"/>
                    </a:xfrm>
                    <a:prstGeom prst="rect">
                      <a:avLst/>
                    </a:prstGeom>
                    <a:noFill/>
                    <a:ln>
                      <a:noFill/>
                    </a:ln>
                  </pic:spPr>
                </pic:pic>
              </a:graphicData>
            </a:graphic>
          </wp:anchor>
        </w:drawing>
      </w:r>
    </w:p>
    <w:p w14:paraId="239C6AD4">
      <w:pPr>
        <w:spacing w:line="580" w:lineRule="exact"/>
        <w:jc w:val="left"/>
        <w:rPr>
          <w:rFonts w:hint="eastAsia" w:ascii="华文仿宋" w:hAnsi="华文仿宋" w:eastAsia="华文仿宋" w:cs="华文仿宋"/>
          <w:kern w:val="0"/>
          <w:sz w:val="28"/>
          <w:szCs w:val="28"/>
          <w:lang w:val="en-US" w:eastAsia="zh-CN"/>
        </w:rPr>
      </w:pPr>
    </w:p>
    <w:p w14:paraId="5B531062">
      <w:pPr>
        <w:spacing w:line="580" w:lineRule="exact"/>
        <w:jc w:val="left"/>
        <w:rPr>
          <w:rFonts w:hint="eastAsia" w:ascii="华文仿宋" w:hAnsi="华文仿宋" w:eastAsia="华文仿宋" w:cs="华文仿宋"/>
          <w:kern w:val="0"/>
          <w:sz w:val="28"/>
          <w:szCs w:val="28"/>
          <w:lang w:val="en-US" w:eastAsia="zh-CN"/>
        </w:rPr>
      </w:pPr>
    </w:p>
    <w:p w14:paraId="0D484CCE">
      <w:pPr>
        <w:spacing w:line="580" w:lineRule="exact"/>
        <w:jc w:val="left"/>
        <w:rPr>
          <w:rFonts w:hint="eastAsia" w:ascii="华文仿宋" w:hAnsi="华文仿宋" w:eastAsia="华文仿宋" w:cs="华文仿宋"/>
          <w:kern w:val="0"/>
          <w:sz w:val="28"/>
          <w:szCs w:val="28"/>
          <w:lang w:val="en-US" w:eastAsia="zh-CN"/>
        </w:rPr>
      </w:pPr>
    </w:p>
    <w:p w14:paraId="63ABF957">
      <w:pPr>
        <w:spacing w:line="580" w:lineRule="exact"/>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                            </w:t>
      </w:r>
    </w:p>
    <w:p w14:paraId="6671B329">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167B1AFF">
      <w:pPr>
        <w:spacing w:line="580" w:lineRule="exact"/>
        <w:ind w:firstLine="560" w:firstLineChars="200"/>
        <w:jc w:val="left"/>
        <w:rPr>
          <w:rFonts w:hint="eastAsia" w:ascii="华文仿宋" w:hAnsi="华文仿宋" w:eastAsia="华文仿宋" w:cs="华文仿宋"/>
          <w:kern w:val="0"/>
          <w:sz w:val="28"/>
          <w:szCs w:val="28"/>
          <w:lang w:val="en-US" w:eastAsia="zh-CN"/>
        </w:rPr>
      </w:pPr>
    </w:p>
    <w:p w14:paraId="7460D727">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2、成效</w:t>
      </w:r>
    </w:p>
    <w:p w14:paraId="6EA055A2">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精准填补边疆阅读缺口，助力教育公平落地。项目聚焦国家重点帮扶县乡村学校阅读需求，定向为西藏亚东县及那曲地区5所学校捐建“国门书屋”，有效完善了当地学校图书阅览室基础设施，补充了优质阅读资源。捐赠图书精准匹配乡村孩子阅读期待，丰富了边疆青少年的阅读选择，为他们搭建起接触多元知识的平台，切实缩小了边疆民族地区与内地的阅读资源差距，以公益力量推动《全国青少年学生读书行动实施方案》在边疆落地生根，助力教育公平理念向边疆延伸。​</w:t>
      </w:r>
    </w:p>
    <w:p w14:paraId="28D1FA70">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创新爱国教育形式，厚植边疆青少年家国情怀。项目在捐建仪式中特别设置天安门国旗班首任班长参与的升旗仪式，让边疆青少年亲身参与其中，直观感受国家力量、体悟爱国情感，将阅读推广与爱国主义教育深度融合。“国门书屋”不仅成为知识传播的空间，更成为爱国主义教育的阵地，有效引导边疆青少年增强国家认同感与民族自豪感，激发其卫国戍边的责任意识，为培养担当民族复兴大任的时代新人筑牢思想根基。​</w:t>
      </w:r>
    </w:p>
    <w:p w14:paraId="39410A7F">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3）践行政策导向，推动青少年读书行动走深走实。项目以响应国家政策为核心导向，通过“国门书屋”这一实体载体，系统引导激励边疆青少年爱读书、读好书、善读书。书屋的建成与运营为当地学校开展常态化读书活动提供了坚实支撑，助力形成浓厚的校园阅读氛围，切实推动全国青少年学生读书行动在边疆民族地区落地见效，提升边疆青少年阅读素养与综合能力。​</w:t>
      </w:r>
    </w:p>
    <w:p w14:paraId="5DC0CE03">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4）扩大社会传播效应，凝聚边疆帮扶公益合力。项目全程以公益纪录片形式呈现，生动展现了卫国戍边场景与边疆青少年成长需求，成功引动社会大众关注边疆教育发展、关心边疆青少年成长成才。通过影像传播让更多人了解边疆民族地区的阅读困境与教育需求，有效凝聚了社会公益力量，为后续持续推进边疆阅读公益项目营造了良好社会氛围，也为公益项目与政策响应、边疆发展、爱国教育的深度融合提供了可复制的实践范式。</w:t>
      </w:r>
    </w:p>
    <w:p w14:paraId="034A4018">
      <w:pPr>
        <w:spacing w:line="580" w:lineRule="exact"/>
        <w:jc w:val="left"/>
        <w:rPr>
          <w:rFonts w:hint="eastAsia" w:ascii="华文仿宋" w:hAnsi="华文仿宋" w:eastAsia="华文仿宋" w:cs="华文仿宋"/>
          <w:kern w:val="0"/>
          <w:sz w:val="28"/>
          <w:szCs w:val="28"/>
          <w:lang w:val="en-US" w:eastAsia="zh-CN"/>
        </w:rPr>
      </w:pPr>
      <w:r>
        <w:rPr>
          <w:sz w:val="28"/>
          <w:szCs w:val="28"/>
        </w:rPr>
        <w:drawing>
          <wp:anchor distT="0" distB="0" distL="114300" distR="114300" simplePos="0" relativeHeight="251674624" behindDoc="0" locked="0" layoutInCell="1" allowOverlap="1">
            <wp:simplePos x="0" y="0"/>
            <wp:positionH relativeFrom="column">
              <wp:posOffset>19050</wp:posOffset>
            </wp:positionH>
            <wp:positionV relativeFrom="paragraph">
              <wp:posOffset>104140</wp:posOffset>
            </wp:positionV>
            <wp:extent cx="5268595" cy="3058160"/>
            <wp:effectExtent l="0" t="0" r="8255" b="8890"/>
            <wp:wrapNone/>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21"/>
                    <a:stretch>
                      <a:fillRect/>
                    </a:stretch>
                  </pic:blipFill>
                  <pic:spPr>
                    <a:xfrm>
                      <a:off x="0" y="0"/>
                      <a:ext cx="5268595" cy="3058160"/>
                    </a:xfrm>
                    <a:prstGeom prst="rect">
                      <a:avLst/>
                    </a:prstGeom>
                    <a:noFill/>
                    <a:ln>
                      <a:noFill/>
                    </a:ln>
                  </pic:spPr>
                </pic:pic>
              </a:graphicData>
            </a:graphic>
          </wp:anchor>
        </w:drawing>
      </w:r>
    </w:p>
    <w:p w14:paraId="2CB174AB">
      <w:pPr>
        <w:spacing w:line="580" w:lineRule="exact"/>
        <w:jc w:val="left"/>
        <w:rPr>
          <w:rFonts w:hint="eastAsia" w:ascii="华文仿宋" w:hAnsi="华文仿宋" w:eastAsia="华文仿宋" w:cs="华文仿宋"/>
          <w:kern w:val="0"/>
          <w:sz w:val="28"/>
          <w:szCs w:val="28"/>
          <w:lang w:val="en-US" w:eastAsia="zh-CN"/>
        </w:rPr>
      </w:pPr>
    </w:p>
    <w:p w14:paraId="6D4E4F7F">
      <w:pPr>
        <w:spacing w:line="580" w:lineRule="exact"/>
        <w:jc w:val="left"/>
        <w:rPr>
          <w:rFonts w:hint="eastAsia" w:ascii="华文仿宋" w:hAnsi="华文仿宋" w:eastAsia="华文仿宋" w:cs="华文仿宋"/>
          <w:kern w:val="0"/>
          <w:sz w:val="28"/>
          <w:szCs w:val="28"/>
          <w:lang w:val="en-US" w:eastAsia="zh-CN"/>
        </w:rPr>
      </w:pPr>
    </w:p>
    <w:p w14:paraId="33D6AB0F">
      <w:pPr>
        <w:spacing w:line="580" w:lineRule="exact"/>
        <w:jc w:val="left"/>
        <w:rPr>
          <w:rFonts w:hint="eastAsia" w:ascii="华文仿宋" w:hAnsi="华文仿宋" w:eastAsia="华文仿宋" w:cs="华文仿宋"/>
          <w:kern w:val="0"/>
          <w:sz w:val="28"/>
          <w:szCs w:val="28"/>
          <w:lang w:val="en-US" w:eastAsia="zh-CN"/>
        </w:rPr>
      </w:pPr>
    </w:p>
    <w:p w14:paraId="602CF0E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580" w:lineRule="exact"/>
        <w:textAlignment w:val="auto"/>
        <w:rPr>
          <w:rFonts w:hint="eastAsia" w:ascii="黑体" w:hAnsi="黑体" w:eastAsia="黑体" w:cs="黑体"/>
          <w:kern w:val="0"/>
          <w:sz w:val="28"/>
          <w:szCs w:val="28"/>
          <w:lang w:val="en-US" w:eastAsia="zh-CN"/>
        </w:rPr>
      </w:pPr>
    </w:p>
    <w:p w14:paraId="249D188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580" w:lineRule="exact"/>
        <w:textAlignment w:val="auto"/>
        <w:rPr>
          <w:rFonts w:hint="eastAsia" w:ascii="黑体" w:hAnsi="黑体" w:eastAsia="黑体" w:cs="黑体"/>
          <w:kern w:val="0"/>
          <w:sz w:val="28"/>
          <w:szCs w:val="28"/>
          <w:lang w:val="en-US" w:eastAsia="zh-CN"/>
        </w:rPr>
      </w:pPr>
    </w:p>
    <w:p w14:paraId="644BB0F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580" w:lineRule="exact"/>
        <w:textAlignment w:val="auto"/>
        <w:rPr>
          <w:rFonts w:hint="eastAsia" w:ascii="黑体" w:hAnsi="黑体" w:eastAsia="黑体" w:cs="黑体"/>
          <w:kern w:val="0"/>
          <w:sz w:val="28"/>
          <w:szCs w:val="28"/>
          <w:lang w:val="en-US" w:eastAsia="zh-CN"/>
        </w:rPr>
      </w:pPr>
    </w:p>
    <w:p w14:paraId="7FEE1EB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580" w:lineRule="exact"/>
        <w:textAlignment w:val="auto"/>
        <w:rPr>
          <w:rFonts w:hint="eastAsia" w:ascii="黑体" w:hAnsi="黑体" w:eastAsia="黑体" w:cs="黑体"/>
          <w:kern w:val="0"/>
          <w:sz w:val="28"/>
          <w:szCs w:val="28"/>
          <w:lang w:val="en-US" w:eastAsia="zh-CN"/>
        </w:rPr>
      </w:pPr>
      <w:bookmarkStart w:id="0" w:name="_GoBack"/>
      <w:bookmarkEnd w:id="0"/>
    </w:p>
    <w:p w14:paraId="20C5C9AB">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580" w:lineRule="exact"/>
        <w:textAlignment w:val="auto"/>
        <w:rPr>
          <w:rFonts w:hint="default" w:ascii="黑体" w:hAnsi="黑体" w:eastAsia="黑体" w:cs="黑体"/>
          <w:kern w:val="0"/>
          <w:sz w:val="28"/>
          <w:szCs w:val="28"/>
          <w:lang w:val="en-US" w:eastAsia="zh-CN"/>
        </w:rPr>
      </w:pPr>
      <w:r>
        <w:rPr>
          <w:rFonts w:hint="eastAsia" w:ascii="黑体" w:hAnsi="黑体" w:eastAsia="黑体" w:cs="黑体"/>
          <w:kern w:val="0"/>
          <w:sz w:val="28"/>
          <w:szCs w:val="28"/>
          <w:lang w:val="en-US" w:eastAsia="zh-CN"/>
        </w:rPr>
        <w:t>三、存在的问题及应对措施</w:t>
      </w:r>
    </w:p>
    <w:p w14:paraId="2314D71A">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（一）现存问题</w:t>
      </w:r>
    </w:p>
    <w:p w14:paraId="549ACD34">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w:t>
      </w:r>
      <w:r>
        <w:rPr>
          <w:rFonts w:hint="default" w:ascii="华文仿宋" w:hAnsi="华文仿宋" w:eastAsia="华文仿宋" w:cs="华文仿宋"/>
          <w:kern w:val="0"/>
          <w:sz w:val="28"/>
          <w:szCs w:val="28"/>
          <w:lang w:val="en-US" w:eastAsia="zh-CN"/>
        </w:rPr>
        <w:t>功利化阅读导向‌</w:t>
      </w:r>
    </w:p>
    <w:p w14:paraId="7C04A0FD">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部分家庭与学校将阅读与考试成绩直接绑定，忽视阅读的精神滋养功能，在教育实践中存在“考试考什么就读什么”的倾向，削弱阅读的内在价值。</w:t>
      </w:r>
    </w:p>
    <w:p w14:paraId="530A2A9A">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w:t>
      </w:r>
      <w:r>
        <w:rPr>
          <w:rFonts w:hint="default" w:ascii="华文仿宋" w:hAnsi="华文仿宋" w:eastAsia="华文仿宋" w:cs="华文仿宋"/>
          <w:kern w:val="0"/>
          <w:sz w:val="28"/>
          <w:szCs w:val="28"/>
          <w:lang w:val="en-US" w:eastAsia="zh-CN"/>
        </w:rPr>
        <w:t>‌浅表化阅读现象‌</w:t>
      </w:r>
    </w:p>
    <w:p w14:paraId="7ADAD470">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信息爆炸导致碎片化阅读盛行，缺乏深度理解与知识整合；农村地区因资源匮乏（如图书数量少、内容陈旧），学生难以接触优质读物。</w:t>
      </w:r>
    </w:p>
    <w:p w14:paraId="0D46975D">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3、</w:t>
      </w:r>
      <w:r>
        <w:rPr>
          <w:rFonts w:hint="default" w:ascii="华文仿宋" w:hAnsi="华文仿宋" w:eastAsia="华文仿宋" w:cs="华文仿宋"/>
          <w:kern w:val="0"/>
          <w:sz w:val="28"/>
          <w:szCs w:val="28"/>
          <w:lang w:val="en-US" w:eastAsia="zh-CN"/>
        </w:rPr>
        <w:t>‌阅读推广形式化‌</w:t>
      </w:r>
    </w:p>
    <w:p w14:paraId="02401B19">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部分学校仅通过标语、会议宣传阅读，缺乏实质性落地措施；农村地区阅读活动依赖社会捐赠，图书适用性低，推广活动稀缺。</w:t>
      </w:r>
    </w:p>
    <w:p w14:paraId="0083D909">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4、</w:t>
      </w:r>
      <w:r>
        <w:rPr>
          <w:rFonts w:hint="default" w:ascii="华文仿宋" w:hAnsi="华文仿宋" w:eastAsia="华文仿宋" w:cs="华文仿宋"/>
          <w:kern w:val="0"/>
          <w:sz w:val="28"/>
          <w:szCs w:val="28"/>
          <w:lang w:val="en-US" w:eastAsia="zh-CN"/>
        </w:rPr>
        <w:t>‌注意力分散与虚假信息干扰‌</w:t>
      </w:r>
    </w:p>
    <w:p w14:paraId="5A61F8DB">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电子设备使用加剧分心现象，同时网络谣言泛滥，影响信息甄别能力。</w:t>
      </w:r>
    </w:p>
    <w:p w14:paraId="62C13F7D">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（二）应对措施‌</w:t>
      </w:r>
    </w:p>
    <w:p w14:paraId="7548A941">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1、</w:t>
      </w:r>
      <w:r>
        <w:rPr>
          <w:rFonts w:hint="default" w:ascii="华文仿宋" w:hAnsi="华文仿宋" w:eastAsia="华文仿宋" w:cs="华文仿宋"/>
          <w:kern w:val="0"/>
          <w:sz w:val="28"/>
          <w:szCs w:val="28"/>
          <w:lang w:val="en-US" w:eastAsia="zh-CN"/>
        </w:rPr>
        <w:t>‌转变教育理念，强化深度阅读‌</w:t>
      </w:r>
    </w:p>
    <w:p w14:paraId="64EE5004">
      <w:pPr>
        <w:spacing w:line="580" w:lineRule="exact"/>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推广整本书阅读，纳入中考评价体系以引导系统性学习。</w:t>
      </w:r>
    </w:p>
    <w:p w14:paraId="4FEED073">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2、</w:t>
      </w:r>
      <w:r>
        <w:rPr>
          <w:rFonts w:hint="default" w:ascii="华文仿宋" w:hAnsi="华文仿宋" w:eastAsia="华文仿宋" w:cs="华文仿宋"/>
          <w:kern w:val="0"/>
          <w:sz w:val="28"/>
          <w:szCs w:val="28"/>
          <w:lang w:val="en-US" w:eastAsia="zh-CN"/>
        </w:rPr>
        <w:t>‌优化资源配置与活动设计‌</w:t>
      </w:r>
    </w:p>
    <w:p w14:paraId="7B38CADD">
      <w:pPr>
        <w:spacing w:line="580" w:lineRule="exact"/>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增加农村专项经费，建设少儿图书馆并更新适龄读物；</w:t>
      </w:r>
    </w:p>
    <w:p w14:paraId="372EFD70">
      <w:pPr>
        <w:spacing w:line="580" w:lineRule="exact"/>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设计沉浸式阅读活动（如角色扮演、读书会）替代口号式宣传。</w:t>
      </w:r>
    </w:p>
    <w:p w14:paraId="71E2F939">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3、</w:t>
      </w:r>
      <w:r>
        <w:rPr>
          <w:rFonts w:hint="default" w:ascii="华文仿宋" w:hAnsi="华文仿宋" w:eastAsia="华文仿宋" w:cs="华文仿宋"/>
          <w:kern w:val="0"/>
          <w:sz w:val="28"/>
          <w:szCs w:val="28"/>
          <w:lang w:val="en-US" w:eastAsia="zh-CN"/>
        </w:rPr>
        <w:t>‌培养批判性思维与阅读习惯‌</w:t>
      </w:r>
    </w:p>
    <w:p w14:paraId="3DF84031">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训练信息筛选能力，结合笔记整理与深度思考对抗碎片化；</w:t>
      </w:r>
    </w:p>
    <w:p w14:paraId="427C38C0">
      <w:pPr>
        <w:spacing w:line="580" w:lineRule="exact"/>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家庭与学校协同制定“阅读公约”，减少电子干扰。</w:t>
      </w:r>
    </w:p>
    <w:p w14:paraId="50C16A34">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4、</w:t>
      </w:r>
      <w:r>
        <w:rPr>
          <w:rFonts w:hint="default" w:ascii="华文仿宋" w:hAnsi="华文仿宋" w:eastAsia="华文仿宋" w:cs="华文仿宋"/>
          <w:kern w:val="0"/>
          <w:sz w:val="28"/>
          <w:szCs w:val="28"/>
          <w:lang w:val="en-US" w:eastAsia="zh-CN"/>
        </w:rPr>
        <w:t>‌完善评价机制‌</w:t>
      </w:r>
    </w:p>
    <w:p w14:paraId="55D38223">
      <w:pPr>
        <w:spacing w:line="580" w:lineRule="exact"/>
        <w:ind w:firstLine="560" w:firstLineChars="200"/>
        <w:jc w:val="left"/>
        <w:rPr>
          <w:rFonts w:hint="default" w:ascii="华文仿宋" w:hAnsi="华文仿宋" w:eastAsia="华文仿宋" w:cs="华文仿宋"/>
          <w:kern w:val="0"/>
          <w:sz w:val="28"/>
          <w:szCs w:val="28"/>
          <w:lang w:val="en-US" w:eastAsia="zh-CN"/>
        </w:rPr>
      </w:pPr>
      <w:r>
        <w:rPr>
          <w:rFonts w:hint="default" w:ascii="华文仿宋" w:hAnsi="华文仿宋" w:eastAsia="华文仿宋" w:cs="华文仿宋"/>
          <w:kern w:val="0"/>
          <w:sz w:val="28"/>
          <w:szCs w:val="28"/>
          <w:lang w:val="en-US" w:eastAsia="zh-CN"/>
        </w:rPr>
        <w:t>采用多元评价（如阅读笔记、创意展示）替代单一量化考核</w:t>
      </w:r>
      <w:r>
        <w:rPr>
          <w:rFonts w:hint="eastAsia" w:ascii="华文仿宋" w:hAnsi="华文仿宋" w:eastAsia="华文仿宋" w:cs="华文仿宋"/>
          <w:kern w:val="0"/>
          <w:sz w:val="28"/>
          <w:szCs w:val="28"/>
          <w:lang w:val="en-US" w:eastAsia="zh-CN"/>
        </w:rPr>
        <w:t>。</w:t>
      </w:r>
    </w:p>
    <w:p w14:paraId="31718D4E">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580" w:lineRule="exact"/>
        <w:ind w:leftChars="0"/>
        <w:textAlignment w:val="auto"/>
        <w:rPr>
          <w:rFonts w:hint="eastAsia" w:ascii="黑体" w:hAnsi="黑体" w:eastAsia="黑体" w:cs="黑体"/>
          <w:kern w:val="0"/>
          <w:sz w:val="28"/>
          <w:szCs w:val="28"/>
          <w:lang w:val="en-US" w:eastAsia="zh-CN"/>
        </w:rPr>
      </w:pPr>
      <w:r>
        <w:rPr>
          <w:rFonts w:hint="eastAsia" w:ascii="黑体" w:hAnsi="黑体" w:eastAsia="黑体" w:cs="黑体"/>
          <w:kern w:val="0"/>
          <w:sz w:val="28"/>
          <w:szCs w:val="28"/>
          <w:lang w:val="en-US" w:eastAsia="zh-CN"/>
        </w:rPr>
        <w:t>四、结语</w:t>
      </w:r>
    </w:p>
    <w:p w14:paraId="32889D0B">
      <w:pPr>
        <w:spacing w:line="580" w:lineRule="exact"/>
        <w:ind w:firstLine="560" w:firstLineChars="200"/>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回望一年历程，项目在资源整合、模式创新与政策响应中积累了宝贵经验，但也清醒认识到功利化阅读、资源不均衡等问题仍需持续破解。未来，我们将以问题为导向，深化教育理念转变与资源优化配置，让深度阅读扎根校园、让优质读物触达更多角落，持续联动社会各界凝聚公益合力，让书香跨越山海、照亮乡村青少年的成长之路，为推进教育公平、建设书香中国注入源源不断的公益动能。</w:t>
      </w:r>
    </w:p>
    <w:p w14:paraId="0AB6EA03">
      <w:pPr>
        <w:spacing w:line="580" w:lineRule="exact"/>
        <w:jc w:val="lef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  </w:t>
      </w:r>
    </w:p>
    <w:p w14:paraId="42349C7C">
      <w:pPr>
        <w:spacing w:line="580" w:lineRule="exact"/>
        <w:jc w:val="left"/>
        <w:rPr>
          <w:rFonts w:hint="eastAsia" w:ascii="华文仿宋" w:hAnsi="华文仿宋" w:eastAsia="华文仿宋" w:cs="华文仿宋"/>
          <w:kern w:val="0"/>
          <w:sz w:val="28"/>
          <w:szCs w:val="28"/>
          <w:lang w:val="en-US" w:eastAsia="zh-CN"/>
        </w:rPr>
      </w:pPr>
    </w:p>
    <w:p w14:paraId="1C2DF585">
      <w:pPr>
        <w:spacing w:line="580" w:lineRule="exact"/>
        <w:jc w:val="left"/>
        <w:rPr>
          <w:rFonts w:hint="eastAsia" w:ascii="华文仿宋" w:hAnsi="华文仿宋" w:eastAsia="华文仿宋" w:cs="华文仿宋"/>
          <w:kern w:val="0"/>
          <w:sz w:val="28"/>
          <w:szCs w:val="28"/>
          <w:lang w:val="en-US" w:eastAsia="zh-CN"/>
        </w:rPr>
      </w:pPr>
    </w:p>
    <w:p w14:paraId="2F5CC52B">
      <w:pPr>
        <w:spacing w:line="580" w:lineRule="exact"/>
        <w:jc w:val="right"/>
        <w:rPr>
          <w:rFonts w:hint="eastAsia"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中国少年儿童文化艺术基金会项目</w:t>
      </w:r>
    </w:p>
    <w:p w14:paraId="0E0254CD">
      <w:pPr>
        <w:wordWrap w:val="0"/>
        <w:spacing w:line="580" w:lineRule="exact"/>
        <w:jc w:val="right"/>
        <w:rPr>
          <w:rFonts w:hint="default" w:ascii="华文仿宋" w:hAnsi="华文仿宋" w:eastAsia="华文仿宋" w:cs="华文仿宋"/>
          <w:kern w:val="0"/>
          <w:sz w:val="28"/>
          <w:szCs w:val="28"/>
          <w:lang w:val="en-US" w:eastAsia="zh-CN"/>
        </w:rPr>
      </w:pPr>
      <w:r>
        <w:rPr>
          <w:rFonts w:hint="eastAsia" w:ascii="华文仿宋" w:hAnsi="华文仿宋" w:eastAsia="华文仿宋" w:cs="华文仿宋"/>
          <w:kern w:val="0"/>
          <w:sz w:val="28"/>
          <w:szCs w:val="28"/>
          <w:lang w:val="en-US" w:eastAsia="zh-CN"/>
        </w:rPr>
        <w:t xml:space="preserve">2025年12月31日    </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55218DD-4E30-4499-A76D-CF75FB207886}"/>
  </w:font>
  <w:font w:name="黑体">
    <w:panose1 w:val="02010609060101010101"/>
    <w:charset w:val="86"/>
    <w:family w:val="auto"/>
    <w:pitch w:val="default"/>
    <w:sig w:usb0="800002BF" w:usb1="38CF7CFA" w:usb2="00000016" w:usb3="00000000" w:csb0="00040001" w:csb1="00000000"/>
    <w:embedRegular r:id="rId2" w:fontKey="{91AB5598-3A06-44C6-B903-A88072FFDB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embedRegular r:id="rId3" w:fontKey="{4299E9AE-FFC6-4986-9FAC-73DAA42C7842}"/>
  </w:font>
  <w:font w:name="仿宋_GB2312">
    <w:altName w:val="仿宋"/>
    <w:panose1 w:val="02010609030101010101"/>
    <w:charset w:val="86"/>
    <w:family w:val="auto"/>
    <w:pitch w:val="default"/>
    <w:sig w:usb0="00000000" w:usb1="00000000" w:usb2="00000000" w:usb3="00000000" w:csb0="00040000" w:csb1="00000000"/>
    <w:embedRegular r:id="rId4" w:fontKey="{875E7DB2-6E3C-4D07-977F-6E02CE001746}"/>
  </w:font>
  <w:font w:name="仿宋">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5" w:fontKey="{FA0E80B9-80DD-4A2C-BB69-98542103053F}"/>
  </w:font>
  <w:font w:name="华文中宋">
    <w:panose1 w:val="02010600040101010101"/>
    <w:charset w:val="86"/>
    <w:family w:val="auto"/>
    <w:pitch w:val="default"/>
    <w:sig w:usb0="00000287" w:usb1="080F0000" w:usb2="00000000" w:usb3="00000000" w:csb0="0004009F" w:csb1="DFD70000"/>
  </w:font>
  <w:font w:name="汉仪细秀体简 L">
    <w:altName w:val="宋体"/>
    <w:panose1 w:val="00020600040101010101"/>
    <w:charset w:val="86"/>
    <w:family w:val="auto"/>
    <w:pitch w:val="default"/>
    <w:sig w:usb0="00000000" w:usb1="00000000" w:usb2="00000016" w:usb3="00000000" w:csb0="00040000" w:csb1="00000000"/>
    <w:embedRegular r:id="rId6" w:fontKey="{5460209C-3672-4F8A-B12B-C4A9CE7365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096AF">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7864D">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917864D">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72C06">
    <w:pPr>
      <w:pStyle w:val="6"/>
      <w:jc w:val="center"/>
      <w:rPr>
        <w:rFonts w:hint="eastAsia" w:eastAsiaTheme="minorEastAsia"/>
        <w:lang w:eastAsia="zh-CN"/>
      </w:rPr>
    </w:pPr>
    <w:r>
      <w:rPr>
        <w:rFonts w:hint="eastAsia" w:eastAsiaTheme="minorEastAsia"/>
        <w:lang w:eastAsia="zh-CN"/>
      </w:rPr>
      <w:drawing>
        <wp:inline distT="0" distB="0" distL="114300" distR="114300">
          <wp:extent cx="2836545" cy="720090"/>
          <wp:effectExtent l="0" t="0" r="1905" b="3810"/>
          <wp:docPr id="15" name="图片 15" descr="df3ce8d0ff5c25b71c12d3b56b34a3ce_38f0ac5b6801d174e6b5a3af60d8d628_8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f3ce8d0ff5c25b71c12d3b56b34a3ce_38f0ac5b6801d174e6b5a3af60d8d628_8_00"/>
                  <pic:cNvPicPr>
                    <a:picLocks noChangeAspect="1"/>
                  </pic:cNvPicPr>
                </pic:nvPicPr>
                <pic:blipFill>
                  <a:blip r:embed="rId1"/>
                  <a:stretch>
                    <a:fillRect/>
                  </a:stretch>
                </pic:blipFill>
                <pic:spPr>
                  <a:xfrm>
                    <a:off x="0" y="0"/>
                    <a:ext cx="2836545" cy="720090"/>
                  </a:xfrm>
                  <a:prstGeom prst="rect">
                    <a:avLst/>
                  </a:prstGeom>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20586"/>
    <w:multiLevelType w:val="singleLevel"/>
    <w:tmpl w:val="FFF20586"/>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AxYjgxOTlkOGFlYjEwNGNhZjY2NWYyNjhhMDAzYWQifQ=="/>
  </w:docVars>
  <w:rsids>
    <w:rsidRoot w:val="00B8105C"/>
    <w:rsid w:val="001E535A"/>
    <w:rsid w:val="00425AC1"/>
    <w:rsid w:val="005F45A6"/>
    <w:rsid w:val="00AE2983"/>
    <w:rsid w:val="00B8105C"/>
    <w:rsid w:val="00CE41BC"/>
    <w:rsid w:val="00EB4273"/>
    <w:rsid w:val="00F35DB8"/>
    <w:rsid w:val="015E3BA1"/>
    <w:rsid w:val="03512A07"/>
    <w:rsid w:val="03BE03C5"/>
    <w:rsid w:val="07C33C91"/>
    <w:rsid w:val="0CE32772"/>
    <w:rsid w:val="0F6E3299"/>
    <w:rsid w:val="15B603DA"/>
    <w:rsid w:val="2D7824AB"/>
    <w:rsid w:val="3BD74C8E"/>
    <w:rsid w:val="415E7673"/>
    <w:rsid w:val="45746556"/>
    <w:rsid w:val="46035C21"/>
    <w:rsid w:val="46643B46"/>
    <w:rsid w:val="5249349B"/>
    <w:rsid w:val="5427001F"/>
    <w:rsid w:val="5B2453A7"/>
    <w:rsid w:val="63C202D8"/>
    <w:rsid w:val="671D281B"/>
    <w:rsid w:val="6E5919FF"/>
    <w:rsid w:val="7A3C0AAD"/>
    <w:rsid w:val="7CE5ACDF"/>
    <w:rsid w:val="7DE9A7F6"/>
    <w:rsid w:val="7F9EE56D"/>
    <w:rsid w:val="9BFDED46"/>
    <w:rsid w:val="A39F3726"/>
    <w:rsid w:val="C7EEA792"/>
    <w:rsid w:val="EFCD84DC"/>
    <w:rsid w:val="FFFF3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unhideWhenUsed/>
    <w:qFormat/>
    <w:uiPriority w:val="0"/>
    <w:pPr>
      <w:keepNext/>
      <w:keepLines/>
      <w:spacing w:beforeLines="0" w:beforeAutospacing="0" w:afterLines="0" w:afterAutospacing="0" w:line="560" w:lineRule="exact"/>
      <w:outlineLvl w:val="1"/>
    </w:pPr>
    <w:rPr>
      <w:rFonts w:ascii="黑体" w:hAnsi="黑体" w:eastAsia="黑体"/>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semiHidden/>
    <w:qFormat/>
    <w:uiPriority w:val="0"/>
    <w:rPr>
      <w:rFonts w:ascii="华文仿宋" w:hAnsi="华文仿宋" w:eastAsia="华文仿宋" w:cs="华文仿宋"/>
      <w:sz w:val="31"/>
      <w:szCs w:val="31"/>
      <w:lang w:val="en-US" w:eastAsia="en-US" w:bidi="ar-SA"/>
    </w:rPr>
  </w:style>
  <w:style w:type="paragraph" w:styleId="5">
    <w:name w:val="footer"/>
    <w:basedOn w:val="1"/>
    <w:link w:val="12"/>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6">
    <w:name w:val="header"/>
    <w:basedOn w:val="1"/>
    <w:link w:val="11"/>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7">
    <w:name w:val="Normal (Web)"/>
    <w:basedOn w:val="1"/>
    <w:semiHidden/>
    <w:unhideWhenUsed/>
    <w:qFormat/>
    <w:uiPriority w:val="99"/>
    <w:rPr>
      <w:sz w:val="24"/>
    </w:rPr>
  </w:style>
  <w:style w:type="character" w:styleId="10">
    <w:name w:val="Strong"/>
    <w:basedOn w:val="9"/>
    <w:qFormat/>
    <w:uiPriority w:val="22"/>
    <w:rPr>
      <w:b/>
    </w:rPr>
  </w:style>
  <w:style w:type="character" w:customStyle="1" w:styleId="11">
    <w:name w:val="页眉 Char"/>
    <w:basedOn w:val="9"/>
    <w:link w:val="6"/>
    <w:semiHidden/>
    <w:qFormat/>
    <w:uiPriority w:val="99"/>
    <w:rPr>
      <w:sz w:val="18"/>
      <w:szCs w:val="18"/>
    </w:rPr>
  </w:style>
  <w:style w:type="character" w:customStyle="1" w:styleId="12">
    <w:name w:val="页脚 Char"/>
    <w:basedOn w:val="9"/>
    <w:link w:val="5"/>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4477</Words>
  <Characters>4515</Characters>
  <Lines>5</Lines>
  <Paragraphs>1</Paragraphs>
  <TotalTime>4</TotalTime>
  <ScaleCrop>false</ScaleCrop>
  <LinksUpToDate>false</LinksUpToDate>
  <CharactersWithSpaces>4793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2015-04-23T02:14:00Z</dcterms:created>
  <dc:creator>1</dc:creator>
  <cp:lastModifiedBy>yir</cp:lastModifiedBy>
  <dcterms:modified xsi:type="dcterms:W3CDTF">2026-05-11T06:49:59Z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B652E1E4111546659AE53FDD6BD9CD42_13</vt:lpwstr>
  </property>
  <property fmtid="{D5CDD505-2E9C-101B-9397-08002B2CF9AE}" pid="4" name="KSOTemplateDocerSaveRecord">
    <vt:lpwstr>eyJoZGlkIjoiOWZjNmQ0MTZiMzAwZjg5YTkxMzE0YTFlZjQ3ZTZjMTgiLCJ1c2VySWQiOiIyMTIzMjc2NjIifQ==</vt:lpwstr>
  </property>
</Properties>
</file>